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506095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488950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8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3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April 28, 2026</w:t>
      </w:r>
    </w:p>
    <w:p>
      <w:pPr>
        <w:spacing w:after="0" w:line="15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BrightSpire Capital,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24" w:lineRule="exact"/>
        <w:rPr>
          <w:sz w:val="24"/>
          <w:szCs w:val="24"/>
          <w:color w:val="auto"/>
        </w:rPr>
      </w:pPr>
    </w:p>
    <w:tbl>
      <w:tblPr>
        <w:tblLayout w:type="fixed"/>
        <w:tblInd w:w="1168" w:type="dxa"/>
        <w:tblCellMar>
          <w:top w:w="0" w:type="dxa"/>
          <w:left w:w="0" w:type="dxa"/>
          <w:bottom w:w="0" w:type="dxa"/>
          <w:right w:w="0" w:type="dxa"/>
        </w:tblCellMar>
      </w:tblPr>
      <w:tr>
        <w:trPr>
          <w:trHeight w:val="157"/>
        </w:trPr>
        <w:tc>
          <w:tcPr>
            <w:tcW w:w="2060" w:type="dxa"/>
            <w:vAlign w:val="bottom"/>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rPr>
              <w:t>Maryland</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001-38377</w:t>
            </w:r>
          </w:p>
        </w:tc>
        <w:tc>
          <w:tcPr>
            <w:tcW w:w="178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38-4046290</w:t>
            </w:r>
          </w:p>
        </w:tc>
      </w:tr>
      <w:tr>
        <w:trPr>
          <w:trHeight w:val="153"/>
        </w:trPr>
        <w:tc>
          <w:tcPr>
            <w:tcW w:w="2060" w:type="dxa"/>
            <w:vAlign w:val="bottom"/>
          </w:tcPr>
          <w:p>
            <w:pPr>
              <w:jc w:val="center"/>
              <w:ind w:right="74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(Commission</w:t>
            </w:r>
          </w:p>
        </w:tc>
        <w:tc>
          <w:tcPr>
            <w:tcW w:w="17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060" w:type="dxa"/>
            <w:vAlign w:val="bottom"/>
          </w:tcPr>
          <w:p>
            <w:pPr>
              <w:jc w:val="center"/>
              <w:ind w:right="740"/>
              <w:spacing w:after="0"/>
              <w:rPr>
                <w:sz w:val="20"/>
                <w:szCs w:val="20"/>
                <w:color w:val="auto"/>
              </w:rPr>
            </w:pPr>
            <w:r>
              <w:rPr>
                <w:rFonts w:ascii="Times New Roman" w:cs="Times New Roman" w:eastAsia="Times New Roman" w:hAnsi="Times New Roman"/>
                <w:sz w:val="12"/>
                <w:szCs w:val="12"/>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File Number)</w:t>
            </w:r>
          </w:p>
        </w:tc>
        <w:tc>
          <w:tcPr>
            <w:tcW w:w="17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336"/>
        </w:trPr>
        <w:tc>
          <w:tcPr>
            <w:tcW w:w="2060" w:type="dxa"/>
            <w:vAlign w:val="bottom"/>
          </w:tcPr>
          <w:p>
            <w:pPr>
              <w:spacing w:after="0"/>
              <w:rPr>
                <w:sz w:val="24"/>
                <w:szCs w:val="24"/>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590 Madison Avenue, 33rd Floor</w:t>
            </w:r>
          </w:p>
        </w:tc>
        <w:tc>
          <w:tcPr>
            <w:tcW w:w="1780" w:type="dxa"/>
            <w:vAlign w:val="bottom"/>
          </w:tcPr>
          <w:p>
            <w:pPr>
              <w:spacing w:after="0"/>
              <w:rPr>
                <w:sz w:val="24"/>
                <w:szCs w:val="24"/>
                <w:color w:val="auto"/>
              </w:rPr>
            </w:pPr>
          </w:p>
        </w:tc>
      </w:tr>
      <w:tr>
        <w:trPr>
          <w:trHeight w:val="148"/>
        </w:trPr>
        <w:tc>
          <w:tcPr>
            <w:tcW w:w="2060" w:type="dxa"/>
            <w:vAlign w:val="bottom"/>
          </w:tcPr>
          <w:p>
            <w:pPr>
              <w:spacing w:after="0"/>
              <w:rPr>
                <w:sz w:val="12"/>
                <w:szCs w:val="12"/>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New York, NY 10022</w:t>
            </w:r>
          </w:p>
        </w:tc>
        <w:tc>
          <w:tcPr>
            <w:tcW w:w="1780" w:type="dxa"/>
            <w:vAlign w:val="bottom"/>
          </w:tcPr>
          <w:p>
            <w:pPr>
              <w:spacing w:after="0"/>
              <w:rPr>
                <w:sz w:val="12"/>
                <w:szCs w:val="12"/>
                <w:color w:val="auto"/>
              </w:rPr>
            </w:pPr>
          </w:p>
        </w:tc>
      </w:tr>
      <w:tr>
        <w:trPr>
          <w:trHeight w:val="155"/>
        </w:trPr>
        <w:tc>
          <w:tcPr>
            <w:tcW w:w="2060" w:type="dxa"/>
            <w:vAlign w:val="bottom"/>
          </w:tcPr>
          <w:p>
            <w:pPr>
              <w:spacing w:after="0"/>
              <w:rPr>
                <w:sz w:val="13"/>
                <w:szCs w:val="13"/>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(Address of Principal Executive Offices, Including Zip Code)</w:t>
            </w:r>
          </w:p>
        </w:tc>
        <w:tc>
          <w:tcPr>
            <w:tcW w:w="1780" w:type="dxa"/>
            <w:vAlign w:val="bottom"/>
          </w:tcPr>
          <w:p>
            <w:pPr>
              <w:spacing w:after="0"/>
              <w:rPr>
                <w:sz w:val="13"/>
                <w:szCs w:val="13"/>
                <w:color w:val="auto"/>
              </w:rPr>
            </w:pPr>
          </w:p>
        </w:tc>
      </w:tr>
      <w:tr>
        <w:trPr>
          <w:trHeight w:val="306"/>
        </w:trPr>
        <w:tc>
          <w:tcPr>
            <w:tcW w:w="2060" w:type="dxa"/>
            <w:vAlign w:val="bottom"/>
          </w:tcPr>
          <w:p>
            <w:pPr>
              <w:spacing w:after="0"/>
              <w:rPr>
                <w:sz w:val="24"/>
                <w:szCs w:val="24"/>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(212) 547-2631</w:t>
            </w:r>
          </w:p>
        </w:tc>
        <w:tc>
          <w:tcPr>
            <w:tcW w:w="1780" w:type="dxa"/>
            <w:vAlign w:val="bottom"/>
          </w:tcPr>
          <w:p>
            <w:pPr>
              <w:spacing w:after="0"/>
              <w:rPr>
                <w:sz w:val="24"/>
                <w:szCs w:val="24"/>
                <w:color w:val="auto"/>
              </w:rPr>
            </w:pPr>
          </w:p>
        </w:tc>
      </w:tr>
    </w:tbl>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l4a-12 under the Exchange Act (17 CFR 240.14a-12)</w:t>
      </w:r>
    </w:p>
    <w:p>
      <w:pPr>
        <w:spacing w:after="0" w:line="150"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1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96"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4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25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33"/>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Class A common stock, par value $0.01 per share</w:t>
            </w:r>
          </w:p>
        </w:tc>
        <w:tc>
          <w:tcPr>
            <w:tcW w:w="80" w:type="dxa"/>
            <w:vAlign w:val="bottom"/>
          </w:tcPr>
          <w:p>
            <w:pPr>
              <w:spacing w:after="0"/>
              <w:rPr>
                <w:sz w:val="11"/>
                <w:szCs w:val="11"/>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BRSP</w:t>
            </w:r>
          </w:p>
        </w:tc>
        <w:tc>
          <w:tcPr>
            <w:tcW w:w="80" w:type="dxa"/>
            <w:vAlign w:val="bottom"/>
          </w:tcPr>
          <w:p>
            <w:pPr>
              <w:spacing w:after="0"/>
              <w:rPr>
                <w:sz w:val="11"/>
                <w:szCs w:val="11"/>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New York Stock Exchange</w:t>
            </w:r>
          </w:p>
        </w:tc>
      </w:tr>
    </w:tbl>
    <w:p>
      <w:pPr>
        <w:spacing w:after="0" w:line="189"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46" w:lineRule="exact"/>
        <w:rPr>
          <w:sz w:val="24"/>
          <w:szCs w:val="24"/>
          <w:color w:val="auto"/>
        </w:rPr>
      </w:pPr>
    </w:p>
    <w:p>
      <w:pPr>
        <w:ind w:left="8" w:right="100"/>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415925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855" w:right="299" w:bottom="1440" w:gutter="0" w:footer="0" w:header="0"/>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8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April 28, 2026, BrightSpire Capital, Inc. (the “Company”) issued a press release announcing its financial position as of March 31, 2026 and its financial results for the first quarter ended March 31, 2026. A copy of the press release is attached as Exhibit 99.1 to this Current Report on Form 8-K and is incorporated herein by reference.</w:t>
      </w:r>
    </w:p>
    <w:p>
      <w:pPr>
        <w:spacing w:after="0" w:line="66" w:lineRule="exact"/>
        <w:rPr>
          <w:sz w:val="20"/>
          <w:szCs w:val="20"/>
          <w:color w:val="auto"/>
        </w:rPr>
      </w:pPr>
    </w:p>
    <w:p>
      <w:pPr>
        <w:jc w:val="both"/>
        <w:ind w:right="20" w:firstLine="320"/>
        <w:spacing w:after="0" w:line="279" w:lineRule="auto"/>
        <w:rPr>
          <w:sz w:val="20"/>
          <w:szCs w:val="20"/>
          <w:color w:val="auto"/>
        </w:rPr>
      </w:pPr>
      <w:r>
        <w:rPr>
          <w:rFonts w:ascii="Times New Roman" w:cs="Times New Roman" w:eastAsia="Times New Roman" w:hAnsi="Times New Roman"/>
          <w:sz w:val="12"/>
          <w:szCs w:val="12"/>
          <w:color w:val="auto"/>
        </w:rPr>
        <w:t>On April 28, 2026, the Company made available a Supplemental Financial Disclosure Presentation for the first quarter ended March 31, 2026 on the Company’s website at www.brightspire.com. A copy of the Supplemental Financial Disclosure Presentation is furnished herewith as Exhibit 99.2 to this Current Report on Form 8-K and is incorporated herein by reference.</w:t>
      </w:r>
    </w:p>
    <w:p>
      <w:pPr>
        <w:spacing w:after="0" w:line="66"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2"/>
          <w:szCs w:val="12"/>
          <w:color w:val="auto"/>
        </w:rPr>
        <w:t>In accordance with General Instructions B.2 and B.6 of Form 8-K, the information included in Item 2.02 and Item 9.01 of this Current Report on Form 8-K (including Exhibits 99.1 and 99.2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Use of Website to Distribute Material Company Information</w:t>
      </w:r>
    </w:p>
    <w:p>
      <w:pPr>
        <w:spacing w:after="0" w:line="10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2"/>
          <w:szCs w:val="12"/>
          <w:color w:val="auto"/>
        </w:rPr>
        <w:t>The Company’s website address is www.brightspire.com. The Company uses its website as a channel of distribution for important company information. Important information, including press releases, analyst presentations and financial information regarding the Company, is routinely posted on and accessible on the Shareholders subpage of its website, which is accessible by clicking on the tab labeled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Shareholders subpage of the Company’s website for important and time-critical information. Visitors to the Company’s website can also register to receive automatic e-mail and other notifications alerting them when new information is made available on the Shareholders subpage of the website.</w:t>
      </w:r>
    </w:p>
    <w:p>
      <w:pPr>
        <w:spacing w:after="0" w:line="13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70" w:lineRule="exact"/>
        <w:rPr>
          <w:sz w:val="20"/>
          <w:szCs w:val="20"/>
          <w:color w:val="auto"/>
        </w:rPr>
      </w:pPr>
    </w:p>
    <w:p>
      <w:pPr>
        <w:ind w:left="460" w:hanging="178"/>
        <w:spacing w:after="0"/>
        <w:tabs>
          <w:tab w:leader="none" w:pos="46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Exhibits. </w:t>
      </w:r>
      <w:r>
        <w:rPr>
          <w:rFonts w:ascii="Times New Roman" w:cs="Times New Roman" w:eastAsia="Times New Roman" w:hAnsi="Times New Roman"/>
          <w:sz w:val="12"/>
          <w:szCs w:val="12"/>
          <w:color w:val="auto"/>
        </w:rPr>
        <w:t>The following exhibits are being furnished herewith to this Current Report on Form 8-K.</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20" w:type="dxa"/>
            <w:vAlign w:val="bottom"/>
            <w:gridSpan w:val="2"/>
          </w:tcPr>
          <w:p>
            <w:pPr>
              <w:ind w:left="98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14"/>
                <w:szCs w:val="14"/>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4"/>
        </w:trPr>
        <w:tc>
          <w:tcPr>
            <w:tcW w:w="2540" w:type="dxa"/>
            <w:vAlign w:val="bottom"/>
            <w:tcBorders>
              <w:top w:val="single" w:sz="8" w:color="auto"/>
            </w:tcBorders>
          </w:tcPr>
          <w:p>
            <w:pPr>
              <w:ind w:left="20"/>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720" w:type="dxa"/>
            <w:vAlign w:val="bottom"/>
            <w:tcBorders>
              <w:top w:val="single" w:sz="8" w:color="auto"/>
              <w:bottom w:val="single" w:sz="8" w:color="0000FF"/>
            </w:tcBorders>
          </w:tcPr>
          <w:p>
            <w:pPr>
              <w:spacing w:after="0" w:line="124" w:lineRule="exact"/>
              <w:rPr>
                <w:sz w:val="20"/>
                <w:szCs w:val="20"/>
                <w:color w:val="auto"/>
              </w:rPr>
            </w:pPr>
            <w:r>
              <w:rPr>
                <w:rFonts w:ascii="Times New Roman" w:cs="Times New Roman" w:eastAsia="Times New Roman" w:hAnsi="Times New Roman"/>
                <w:sz w:val="12"/>
                <w:szCs w:val="12"/>
                <w:color w:val="0000FF"/>
                <w:w w:val="99"/>
              </w:rPr>
              <w:t>Press Release, dated April 28, 2026</w:t>
            </w:r>
          </w:p>
        </w:tc>
        <w:tc>
          <w:tcPr>
            <w:tcW w:w="6940" w:type="dxa"/>
            <w:vAlign w:val="bottom"/>
            <w:tcBorders>
              <w:top w:val="single" w:sz="8" w:color="auto"/>
            </w:tcBorders>
            <w:gridSpan w:val="2"/>
          </w:tcPr>
          <w:p>
            <w:pPr>
              <w:spacing w:after="0"/>
              <w:rPr>
                <w:sz w:val="10"/>
                <w:szCs w:val="10"/>
                <w:color w:val="auto"/>
              </w:rPr>
            </w:pPr>
          </w:p>
        </w:tc>
      </w:tr>
      <w:tr>
        <w:trPr>
          <w:trHeight w:val="151"/>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Supplemental Financial Disclosure Presentation for the first quarter ended March 31, 2026</w:t>
            </w:r>
          </w:p>
        </w:tc>
        <w:tc>
          <w:tcPr>
            <w:tcW w:w="4300" w:type="dxa"/>
            <w:vAlign w:val="bottom"/>
          </w:tcPr>
          <w:p>
            <w:pPr>
              <w:spacing w:after="0"/>
              <w:rPr>
                <w:sz w:val="13"/>
                <w:szCs w:val="13"/>
                <w:color w:val="auto"/>
              </w:rPr>
            </w:pPr>
          </w:p>
        </w:tc>
      </w:tr>
      <w:tr>
        <w:trPr>
          <w:trHeight w:val="178"/>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980"/>
        </w:trPr>
        <w:tc>
          <w:tcPr>
            <w:tcW w:w="2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Date: April 28, 2026</w:t>
            </w:r>
          </w:p>
        </w:tc>
        <w:tc>
          <w:tcPr>
            <w:tcW w:w="828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BRIGHTSPIRE CAPITAL, INC.</w:t>
            </w:r>
          </w:p>
        </w:tc>
      </w:tr>
      <w:tr>
        <w:trPr>
          <w:trHeight w:val="324"/>
        </w:trPr>
        <w:tc>
          <w:tcPr>
            <w:tcW w:w="3020" w:type="dxa"/>
            <w:vAlign w:val="bottom"/>
          </w:tcPr>
          <w:p>
            <w:pPr>
              <w:spacing w:after="0"/>
              <w:rPr>
                <w:sz w:val="24"/>
                <w:szCs w:val="24"/>
                <w:color w:val="auto"/>
              </w:rPr>
            </w:pPr>
          </w:p>
        </w:tc>
        <w:tc>
          <w:tcPr>
            <w:tcW w:w="2840" w:type="dxa"/>
            <w:vAlign w:val="bottom"/>
          </w:tcPr>
          <w:p>
            <w:pPr>
              <w:ind w:left="2000"/>
              <w:spacing w:after="0"/>
              <w:rPr>
                <w:sz w:val="20"/>
                <w:szCs w:val="20"/>
                <w:color w:val="auto"/>
              </w:rPr>
            </w:pPr>
            <w:r>
              <w:rPr>
                <w:rFonts w:ascii="Times New Roman" w:cs="Times New Roman" w:eastAsia="Times New Roman" w:hAnsi="Times New Roman"/>
                <w:sz w:val="12"/>
                <w:szCs w:val="12"/>
                <w:color w:val="auto"/>
              </w:rPr>
              <w:t>By:</w:t>
            </w:r>
          </w:p>
        </w:tc>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David A. Palamé</w:t>
            </w:r>
          </w:p>
        </w:tc>
      </w:tr>
      <w:tr>
        <w:trPr>
          <w:trHeight w:val="140"/>
        </w:trPr>
        <w:tc>
          <w:tcPr>
            <w:tcW w:w="3020" w:type="dxa"/>
            <w:vAlign w:val="bottom"/>
          </w:tcPr>
          <w:p>
            <w:pPr>
              <w:spacing w:after="0"/>
              <w:rPr>
                <w:sz w:val="12"/>
                <w:szCs w:val="12"/>
                <w:color w:val="auto"/>
              </w:rPr>
            </w:pPr>
          </w:p>
        </w:tc>
        <w:tc>
          <w:tcPr>
            <w:tcW w:w="2840" w:type="dxa"/>
            <w:vAlign w:val="bottom"/>
          </w:tcPr>
          <w:p>
            <w:pPr>
              <w:ind w:left="2000"/>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5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David A. Palamé</w:t>
            </w:r>
          </w:p>
        </w:tc>
      </w:tr>
      <w:tr>
        <w:trPr>
          <w:trHeight w:val="155"/>
        </w:trPr>
        <w:tc>
          <w:tcPr>
            <w:tcW w:w="3020" w:type="dxa"/>
            <w:vAlign w:val="bottom"/>
          </w:tcPr>
          <w:p>
            <w:pPr>
              <w:spacing w:after="0"/>
              <w:rPr>
                <w:sz w:val="13"/>
                <w:szCs w:val="13"/>
                <w:color w:val="auto"/>
              </w:rPr>
            </w:pPr>
          </w:p>
        </w:tc>
        <w:tc>
          <w:tcPr>
            <w:tcW w:w="2840" w:type="dxa"/>
            <w:vAlign w:val="bottom"/>
          </w:tcPr>
          <w:p>
            <w:pPr>
              <w:ind w:left="2000"/>
              <w:spacing w:after="0"/>
              <w:rPr>
                <w:sz w:val="20"/>
                <w:szCs w:val="20"/>
                <w:color w:val="auto"/>
              </w:rPr>
            </w:pPr>
            <w:r>
              <w:rPr>
                <w:rFonts w:ascii="Times New Roman" w:cs="Times New Roman" w:eastAsia="Times New Roman" w:hAnsi="Times New Roman"/>
                <w:sz w:val="12"/>
                <w:szCs w:val="12"/>
                <w:color w:val="auto"/>
              </w:rPr>
              <w:t>Title:</w:t>
            </w:r>
          </w:p>
        </w:tc>
        <w:tc>
          <w:tcPr>
            <w:tcW w:w="5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General Counsel &amp; Secretary</w:t>
            </w:r>
          </w:p>
        </w:tc>
      </w:tr>
    </w:tbl>
    <w:p>
      <w:pPr>
        <w:sectPr>
          <w:pgSz w:w="11900" w:h="16838" w:orient="portrait"/>
          <w:cols w:equalWidth="0" w:num="1">
            <w:col w:w="11300"/>
          </w:cols>
          <w:pgMar w:left="300" w:top="665"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2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2026-04-28T16:06:19Z</dcterms:created>
  <dcterms:modified xsi:type="dcterms:W3CDTF">2026-04-28T16:06:19Z</dcterms:modified>
</cp:coreProperties>
</file>