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SCHWARTZ VERNON 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590 MADISON AVENUE, 33RD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BrightSpire Capital,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BRSP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10022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22,085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139,580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of Issuer's Class A common stock represent 2026 annual equity consideration in accordance with the Issuer's non-executive director compensation policy and will vest on May 20, 2027.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David A. Palame,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3467" TargetMode="External"/><Relationship Id="rId14" Type="http://schemas.openxmlformats.org/officeDocument/2006/relationships/hyperlink" Target="http://www.sec.gov/cgi-bin/browse-edgar?action=getcompany&amp;CIK=00017175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2026-05-21T17:34:50Z</dcterms:created>
  <dcterms:modified xsi:type="dcterms:W3CDTF">2026-05-21T17:34:50Z</dcterms:modified>
</cp:coreProperties>
</file>