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13335</wp:posOffset>
            </wp:positionH>
            <wp:positionV relativeFrom="paragraph">
              <wp:posOffset>428625</wp:posOffset>
            </wp:positionV>
            <wp:extent cx="711517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15175" cy="8890"/>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386080</wp:posOffset>
            </wp:positionV>
            <wp:extent cx="7115175"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15175"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3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5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1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120" w:lineRule="exact"/>
        <w:rPr>
          <w:sz w:val="24"/>
          <w:szCs w:val="24"/>
          <w:color w:val="auto"/>
        </w:rPr>
      </w:pPr>
    </w:p>
    <w:p>
      <w:pPr>
        <w:ind w:left="680" w:right="60" w:hanging="641"/>
        <w:spacing w:after="0" w:line="238" w:lineRule="auto"/>
        <w:tabs>
          <w:tab w:leader="none" w:pos="680" w:val="left"/>
        </w:tabs>
        <w:numPr>
          <w:ilvl w:val="0"/>
          <w:numId w:val="1"/>
        </w:numPr>
        <w:rPr>
          <w:rFonts w:ascii="MS PGothic" w:cs="MS PGothic" w:eastAsia="MS PGothic" w:hAnsi="MS PGothic"/>
          <w:sz w:val="22"/>
          <w:szCs w:val="22"/>
          <w:color w:val="auto"/>
          <w:highlight w:val="black"/>
        </w:rPr>
      </w:pPr>
      <w:r>
        <w:rPr>
          <w:rFonts w:ascii="Times New Roman" w:cs="Times New Roman" w:eastAsia="Times New Roman" w:hAnsi="Times New Roman"/>
          <w:sz w:val="22"/>
          <w:szCs w:val="22"/>
          <w:b w:val="1"/>
          <w:bCs w:val="1"/>
          <w:color w:val="auto"/>
        </w:rPr>
        <w:t>QUARTERLY REPORT PURSUANT TO SECTION 13 OR 15(d) OF THE SECURITIES EXCHANGE ACT OF 1934</w:t>
      </w:r>
    </w:p>
    <w:p>
      <w:pPr>
        <w:spacing w:after="0" w:line="11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quarterly period ended September 30, 2026</w:t>
      </w:r>
    </w:p>
    <w:p>
      <w:pPr>
        <w:spacing w:after="0" w:line="5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94" w:lineRule="exact"/>
        <w:rPr>
          <w:sz w:val="24"/>
          <w:szCs w:val="24"/>
          <w:color w:val="auto"/>
        </w:rPr>
      </w:pPr>
    </w:p>
    <w:p>
      <w:pPr>
        <w:ind w:left="680" w:right="40" w:hanging="641"/>
        <w:spacing w:after="0" w:line="238" w:lineRule="auto"/>
        <w:tabs>
          <w:tab w:leader="none" w:pos="680" w:val="left"/>
        </w:tabs>
        <w:numPr>
          <w:ilvl w:val="0"/>
          <w:numId w:val="2"/>
        </w:numPr>
        <w:rPr>
          <w:rFonts w:ascii="MS PGothic" w:cs="MS PGothic" w:eastAsia="MS PGothic" w:hAnsi="MS PGothic"/>
          <w:sz w:val="18"/>
          <w:szCs w:val="18"/>
          <w:color w:val="auto"/>
          <w:highlight w:val="black"/>
        </w:rPr>
      </w:pPr>
      <w:r>
        <w:rPr>
          <w:rFonts w:ascii="Times New Roman" w:cs="Times New Roman" w:eastAsia="Times New Roman" w:hAnsi="Times New Roman"/>
          <w:sz w:val="22"/>
          <w:szCs w:val="22"/>
          <w:b w:val="1"/>
          <w:bCs w:val="1"/>
          <w:color w:val="auto"/>
        </w:rPr>
        <w:t>TRANSITION REPORT PURSUANT TO SECTION 13 OR 15(d) OF THE SECURITIES EXCHANGE ACT OF 1934</w:t>
      </w:r>
    </w:p>
    <w:p>
      <w:pPr>
        <w:spacing w:after="0" w:line="6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Commission File Number: 001-38377</w:t>
      </w:r>
    </w:p>
    <w:p>
      <w:pPr>
        <w:spacing w:after="0" w:line="22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BRIGHTSPIRE CAPITAL, INC.</w:t>
      </w:r>
    </w:p>
    <w:p>
      <w:pPr>
        <w:spacing w:after="0" w:line="61" w:lineRule="exact"/>
        <w:rPr>
          <w:sz w:val="24"/>
          <w:szCs w:val="24"/>
          <w:color w:val="auto"/>
        </w:rPr>
      </w:pPr>
    </w:p>
    <w:tbl>
      <w:tblPr>
        <w:tblLayout w:type="fixed"/>
        <w:tblInd w:w="1540" w:type="dxa"/>
        <w:tblCellMar>
          <w:top w:w="0" w:type="dxa"/>
          <w:left w:w="0" w:type="dxa"/>
          <w:bottom w:w="0" w:type="dxa"/>
          <w:right w:w="0" w:type="dxa"/>
        </w:tblCellMar>
      </w:tblPr>
      <w:tr>
        <w:trPr>
          <w:trHeight w:val="238"/>
        </w:trPr>
        <w:tc>
          <w:tcPr>
            <w:tcW w:w="1840" w:type="dxa"/>
            <w:vAlign w:val="bottom"/>
          </w:tcPr>
          <w:p>
            <w:pPr>
              <w:spacing w:after="0"/>
              <w:rPr>
                <w:sz w:val="20"/>
                <w:szCs w:val="20"/>
                <w:color w:val="auto"/>
              </w:rPr>
            </w:pPr>
          </w:p>
        </w:tc>
        <w:tc>
          <w:tcPr>
            <w:tcW w:w="5960" w:type="dxa"/>
            <w:vAlign w:val="bottom"/>
          </w:tcPr>
          <w:p>
            <w:pPr>
              <w:ind w:left="160"/>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tc>
      </w:tr>
      <w:tr>
        <w:trPr>
          <w:trHeight w:val="265"/>
        </w:trPr>
        <w:tc>
          <w:tcPr>
            <w:tcW w:w="1840" w:type="dxa"/>
            <w:vAlign w:val="bottom"/>
          </w:tcPr>
          <w:p>
            <w:pPr>
              <w:jc w:val="center"/>
              <w:ind w:right="71"/>
              <w:spacing w:after="0"/>
              <w:rPr>
                <w:sz w:val="20"/>
                <w:szCs w:val="20"/>
                <w:color w:val="auto"/>
              </w:rPr>
            </w:pPr>
            <w:r>
              <w:rPr>
                <w:rFonts w:ascii="Times New Roman" w:cs="Times New Roman" w:eastAsia="Times New Roman" w:hAnsi="Times New Roman"/>
                <w:sz w:val="16"/>
                <w:szCs w:val="16"/>
                <w:b w:val="1"/>
                <w:bCs w:val="1"/>
                <w:color w:val="auto"/>
              </w:rPr>
              <w:t>Maryland</w:t>
            </w:r>
          </w:p>
        </w:tc>
        <w:tc>
          <w:tcPr>
            <w:tcW w:w="5960" w:type="dxa"/>
            <w:vAlign w:val="bottom"/>
          </w:tcPr>
          <w:p>
            <w:pPr>
              <w:jc w:val="center"/>
              <w:ind w:left="4906"/>
              <w:spacing w:after="0"/>
              <w:rPr>
                <w:sz w:val="20"/>
                <w:szCs w:val="20"/>
                <w:color w:val="auto"/>
              </w:rPr>
            </w:pPr>
            <w:r>
              <w:rPr>
                <w:rFonts w:ascii="Times New Roman" w:cs="Times New Roman" w:eastAsia="Times New Roman" w:hAnsi="Times New Roman"/>
                <w:sz w:val="16"/>
                <w:szCs w:val="16"/>
                <w:b w:val="1"/>
                <w:bCs w:val="1"/>
                <w:color w:val="auto"/>
              </w:rPr>
              <w:t>38-4046290</w:t>
            </w:r>
          </w:p>
        </w:tc>
      </w:tr>
      <w:tr>
        <w:trPr>
          <w:trHeight w:val="141"/>
        </w:trPr>
        <w:tc>
          <w:tcPr>
            <w:tcW w:w="1840" w:type="dxa"/>
            <w:vAlign w:val="bottom"/>
          </w:tcPr>
          <w:p>
            <w:pPr>
              <w:jc w:val="center"/>
              <w:ind w:right="91"/>
              <w:spacing w:after="0" w:line="141" w:lineRule="exact"/>
              <w:rPr>
                <w:sz w:val="20"/>
                <w:szCs w:val="20"/>
                <w:color w:val="auto"/>
              </w:rPr>
            </w:pPr>
            <w:r>
              <w:rPr>
                <w:rFonts w:ascii="Times New Roman" w:cs="Times New Roman" w:eastAsia="Times New Roman" w:hAnsi="Times New Roman"/>
                <w:sz w:val="13"/>
                <w:szCs w:val="13"/>
                <w:b w:val="1"/>
                <w:bCs w:val="1"/>
                <w:color w:val="auto"/>
                <w:w w:val="97"/>
              </w:rPr>
              <w:t>(State or Other Jurisdiction of</w:t>
            </w:r>
          </w:p>
        </w:tc>
        <w:tc>
          <w:tcPr>
            <w:tcW w:w="5960" w:type="dxa"/>
            <w:vAlign w:val="bottom"/>
          </w:tcPr>
          <w:p>
            <w:pPr>
              <w:jc w:val="center"/>
              <w:ind w:left="4886"/>
              <w:spacing w:after="0" w:line="141" w:lineRule="exact"/>
              <w:rPr>
                <w:sz w:val="20"/>
                <w:szCs w:val="20"/>
                <w:color w:val="auto"/>
              </w:rPr>
            </w:pPr>
            <w:r>
              <w:rPr>
                <w:rFonts w:ascii="Times New Roman" w:cs="Times New Roman" w:eastAsia="Times New Roman" w:hAnsi="Times New Roman"/>
                <w:sz w:val="13"/>
                <w:szCs w:val="13"/>
                <w:b w:val="1"/>
                <w:bCs w:val="1"/>
                <w:color w:val="auto"/>
                <w:w w:val="97"/>
              </w:rPr>
              <w:t>(I.R.S. Employer</w:t>
            </w:r>
          </w:p>
        </w:tc>
      </w:tr>
      <w:tr>
        <w:trPr>
          <w:trHeight w:val="166"/>
        </w:trPr>
        <w:tc>
          <w:tcPr>
            <w:tcW w:w="1840" w:type="dxa"/>
            <w:vAlign w:val="bottom"/>
          </w:tcPr>
          <w:p>
            <w:pPr>
              <w:jc w:val="center"/>
              <w:ind w:right="71"/>
              <w:spacing w:after="0"/>
              <w:rPr>
                <w:sz w:val="20"/>
                <w:szCs w:val="20"/>
                <w:color w:val="auto"/>
              </w:rPr>
            </w:pPr>
            <w:r>
              <w:rPr>
                <w:rFonts w:ascii="Times New Roman" w:cs="Times New Roman" w:eastAsia="Times New Roman" w:hAnsi="Times New Roman"/>
                <w:sz w:val="13"/>
                <w:szCs w:val="13"/>
                <w:b w:val="1"/>
                <w:bCs w:val="1"/>
                <w:color w:val="auto"/>
                <w:w w:val="97"/>
              </w:rPr>
              <w:t>Incorporation or Organization)</w:t>
            </w:r>
          </w:p>
        </w:tc>
        <w:tc>
          <w:tcPr>
            <w:tcW w:w="5960" w:type="dxa"/>
            <w:vAlign w:val="bottom"/>
          </w:tcPr>
          <w:p>
            <w:pPr>
              <w:jc w:val="center"/>
              <w:ind w:left="4906"/>
              <w:spacing w:after="0"/>
              <w:rPr>
                <w:sz w:val="20"/>
                <w:szCs w:val="20"/>
                <w:color w:val="auto"/>
              </w:rPr>
            </w:pPr>
            <w:r>
              <w:rPr>
                <w:rFonts w:ascii="Times New Roman" w:cs="Times New Roman" w:eastAsia="Times New Roman" w:hAnsi="Times New Roman"/>
                <w:sz w:val="13"/>
                <w:szCs w:val="13"/>
                <w:b w:val="1"/>
                <w:bCs w:val="1"/>
                <w:color w:val="auto"/>
                <w:w w:val="96"/>
              </w:rPr>
              <w:t>Identification No.)</w:t>
            </w:r>
          </w:p>
        </w:tc>
      </w:tr>
    </w:tbl>
    <w:p>
      <w:pPr>
        <w:spacing w:after="0" w:line="9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590 Madison Avenue, 33rd Floor</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New York, NY 10022</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(Address of Principal Executive Offices, Including Zip Code)</w:t>
      </w:r>
    </w:p>
    <w:p>
      <w:pPr>
        <w:spacing w:after="0" w:line="1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(212) 547-2631</w:t>
      </w:r>
    </w:p>
    <w:p>
      <w:pPr>
        <w:spacing w:after="0" w:line="6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(Registrant’s Telephone Number, Including Area Code)</w:t>
      </w:r>
    </w:p>
    <w:p>
      <w:pPr>
        <w:spacing w:after="0" w:line="347" w:lineRule="exact"/>
        <w:rPr>
          <w:sz w:val="24"/>
          <w:szCs w:val="24"/>
          <w:color w:val="auto"/>
        </w:rPr>
      </w:pPr>
    </w:p>
    <w:p>
      <w:pPr>
        <w:ind w:left="2680"/>
        <w:spacing w:after="0"/>
        <w:rPr>
          <w:sz w:val="20"/>
          <w:szCs w:val="20"/>
          <w:color w:val="auto"/>
        </w:rPr>
      </w:pPr>
      <w:r>
        <w:rPr>
          <w:rFonts w:ascii="Times New Roman" w:cs="Times New Roman" w:eastAsia="Times New Roman" w:hAnsi="Times New Roman"/>
          <w:sz w:val="18"/>
          <w:szCs w:val="18"/>
          <w:color w:val="auto"/>
        </w:rPr>
        <w:t>(Former name, former address and former fiscal year, if changed since last report)</w:t>
      </w:r>
    </w:p>
    <w:p>
      <w:pPr>
        <w:spacing w:after="0" w:line="50"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66" w:lineRule="exact"/>
        <w:rPr>
          <w:sz w:val="24"/>
          <w:szCs w:val="24"/>
          <w:color w:val="auto"/>
        </w:rPr>
      </w:pPr>
    </w:p>
    <w:tbl>
      <w:tblPr>
        <w:tblLayout w:type="fixed"/>
        <w:tblInd w:w="0" w:type="dxa"/>
        <w:tblCellMar>
          <w:top w:w="0" w:type="dxa"/>
          <w:left w:w="0" w:type="dxa"/>
          <w:bottom w:w="0" w:type="dxa"/>
          <w:right w:w="0" w:type="dxa"/>
        </w:tblCellMar>
      </w:tblPr>
      <w:tr>
        <w:trPr>
          <w:trHeight w:val="215"/>
        </w:trPr>
        <w:tc>
          <w:tcPr>
            <w:tcW w:w="42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Title of each class</w:t>
            </w:r>
          </w:p>
        </w:tc>
        <w:tc>
          <w:tcPr>
            <w:tcW w:w="120" w:type="dxa"/>
            <w:vAlign w:val="bottom"/>
          </w:tcPr>
          <w:p>
            <w:pPr>
              <w:spacing w:after="0"/>
              <w:rPr>
                <w:sz w:val="18"/>
                <w:szCs w:val="18"/>
                <w:color w:val="auto"/>
              </w:rPr>
            </w:pPr>
          </w:p>
        </w:tc>
        <w:tc>
          <w:tcPr>
            <w:tcW w:w="25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Trading Symbol(s)</w:t>
            </w:r>
          </w:p>
        </w:tc>
        <w:tc>
          <w:tcPr>
            <w:tcW w:w="120" w:type="dxa"/>
            <w:vAlign w:val="bottom"/>
          </w:tcPr>
          <w:p>
            <w:pPr>
              <w:spacing w:after="0"/>
              <w:rPr>
                <w:sz w:val="18"/>
                <w:szCs w:val="18"/>
                <w:color w:val="auto"/>
              </w:rPr>
            </w:pPr>
          </w:p>
        </w:tc>
        <w:tc>
          <w:tcPr>
            <w:tcW w:w="42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Name of each exchange on which registered</w:t>
            </w:r>
          </w:p>
        </w:tc>
      </w:tr>
      <w:tr>
        <w:trPr>
          <w:trHeight w:val="220"/>
        </w:trPr>
        <w:tc>
          <w:tcPr>
            <w:tcW w:w="432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Class A common stock, par value $0.01 per share</w:t>
            </w:r>
          </w:p>
        </w:tc>
        <w:tc>
          <w:tcPr>
            <w:tcW w:w="270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BRSP</w:t>
            </w:r>
          </w:p>
        </w:tc>
        <w:tc>
          <w:tcPr>
            <w:tcW w:w="42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New York Stock Exchange</w:t>
            </w:r>
          </w:p>
        </w:tc>
      </w:tr>
    </w:tbl>
    <w:p>
      <w:pPr>
        <w:spacing w:after="0" w:line="123" w:lineRule="exact"/>
        <w:rPr>
          <w:sz w:val="24"/>
          <w:szCs w:val="24"/>
          <w:color w:val="auto"/>
        </w:rPr>
      </w:pPr>
    </w:p>
    <w:p>
      <w:pPr>
        <w:ind w:right="300"/>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highlight w:val="black"/>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36" w:lineRule="exact"/>
        <w:rPr>
          <w:sz w:val="24"/>
          <w:szCs w:val="24"/>
          <w:color w:val="auto"/>
        </w:rPr>
      </w:pPr>
    </w:p>
    <w:p>
      <w:pPr>
        <w:ind w:right="120"/>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highlight w:val="black"/>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36" w:lineRule="exact"/>
        <w:rPr>
          <w:sz w:val="24"/>
          <w:szCs w:val="24"/>
          <w:color w:val="auto"/>
        </w:rPr>
      </w:pPr>
    </w:p>
    <w:p>
      <w:pPr>
        <w:ind w:right="440"/>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 (Check one):</w:t>
      </w:r>
    </w:p>
    <w:p>
      <w:pPr>
        <w:spacing w:after="0" w:line="27" w:lineRule="exact"/>
        <w:rPr>
          <w:sz w:val="24"/>
          <w:szCs w:val="24"/>
          <w:color w:val="auto"/>
        </w:rPr>
      </w:pPr>
    </w:p>
    <w:tbl>
      <w:tblPr>
        <w:tblLayout w:type="fixed"/>
        <w:tblInd w:w="560" w:type="dxa"/>
        <w:tblCellMar>
          <w:top w:w="0" w:type="dxa"/>
          <w:left w:w="0" w:type="dxa"/>
          <w:bottom w:w="0" w:type="dxa"/>
          <w:right w:w="0" w:type="dxa"/>
        </w:tblCellMar>
      </w:tblPr>
      <w:tr>
        <w:trPr>
          <w:trHeight w:val="283"/>
        </w:trPr>
        <w:tc>
          <w:tcPr>
            <w:tcW w:w="2160" w:type="dxa"/>
            <w:vAlign w:val="bottom"/>
          </w:tcPr>
          <w:p>
            <w:pPr>
              <w:spacing w:after="0" w:line="207" w:lineRule="exact"/>
              <w:rPr>
                <w:sz w:val="20"/>
                <w:szCs w:val="20"/>
                <w:color w:val="auto"/>
              </w:rPr>
            </w:pPr>
            <w:r>
              <w:rPr>
                <w:rFonts w:ascii="Times New Roman" w:cs="Times New Roman" w:eastAsia="Times New Roman" w:hAnsi="Times New Roman"/>
                <w:sz w:val="18"/>
                <w:szCs w:val="18"/>
                <w:color w:val="auto"/>
              </w:rPr>
              <w:t xml:space="preserve">Large accelerated filer </w:t>
            </w:r>
            <w:r>
              <w:rPr>
                <w:rFonts w:ascii="MS PGothic" w:cs="MS PGothic" w:eastAsia="MS PGothic" w:hAnsi="MS PGothic"/>
                <w:sz w:val="18"/>
                <w:szCs w:val="18"/>
                <w:color w:val="auto"/>
                <w:highlight w:val="black"/>
              </w:rPr>
              <w:t>☒</w:t>
            </w:r>
          </w:p>
        </w:tc>
        <w:tc>
          <w:tcPr>
            <w:tcW w:w="2240" w:type="dxa"/>
            <w:vAlign w:val="bottom"/>
          </w:tcPr>
          <w:p>
            <w:pPr>
              <w:ind w:left="340"/>
              <w:spacing w:after="0" w:line="207" w:lineRule="exact"/>
              <w:rPr>
                <w:sz w:val="20"/>
                <w:szCs w:val="20"/>
                <w:color w:val="auto"/>
              </w:rPr>
            </w:pPr>
            <w:r>
              <w:rPr>
                <w:rFonts w:ascii="Times New Roman" w:cs="Times New Roman" w:eastAsia="Times New Roman" w:hAnsi="Times New Roman"/>
                <w:sz w:val="18"/>
                <w:szCs w:val="18"/>
                <w:color w:val="auto"/>
              </w:rPr>
              <w:t xml:space="preserve">Accelerated filer </w:t>
            </w:r>
            <w:r>
              <w:rPr>
                <w:rFonts w:ascii="MS PGothic" w:cs="MS PGothic" w:eastAsia="MS PGothic" w:hAnsi="MS PGothic"/>
                <w:sz w:val="18"/>
                <w:szCs w:val="18"/>
                <w:color w:val="auto"/>
                <w:highlight w:val="black"/>
              </w:rPr>
              <w:t>☐</w:t>
            </w:r>
          </w:p>
        </w:tc>
        <w:tc>
          <w:tcPr>
            <w:tcW w:w="2740" w:type="dxa"/>
            <w:vAlign w:val="bottom"/>
          </w:tcPr>
          <w:p>
            <w:pPr>
              <w:ind w:left="500"/>
              <w:spacing w:after="0" w:line="207" w:lineRule="exact"/>
              <w:rPr>
                <w:sz w:val="20"/>
                <w:szCs w:val="20"/>
                <w:color w:val="auto"/>
              </w:rPr>
            </w:pPr>
            <w:r>
              <w:rPr>
                <w:rFonts w:ascii="Times New Roman" w:cs="Times New Roman" w:eastAsia="Times New Roman" w:hAnsi="Times New Roman"/>
                <w:sz w:val="18"/>
                <w:szCs w:val="18"/>
                <w:color w:val="auto"/>
              </w:rPr>
              <w:t xml:space="preserve">Non-accelerated filer </w:t>
            </w:r>
            <w:r>
              <w:rPr>
                <w:rFonts w:ascii="MS PGothic" w:cs="MS PGothic" w:eastAsia="MS PGothic" w:hAnsi="MS PGothic"/>
                <w:sz w:val="18"/>
                <w:szCs w:val="18"/>
                <w:color w:val="auto"/>
                <w:highlight w:val="black"/>
              </w:rPr>
              <w:t>☐</w:t>
            </w:r>
          </w:p>
        </w:tc>
        <w:tc>
          <w:tcPr>
            <w:tcW w:w="250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200" w:type="dxa"/>
            <w:vAlign w:val="bottom"/>
          </w:tcPr>
          <w:p>
            <w:pPr>
              <w:ind w:left="40"/>
              <w:spacing w:after="0" w:line="181" w:lineRule="exact"/>
              <w:rPr>
                <w:sz w:val="20"/>
                <w:szCs w:val="20"/>
                <w:color w:val="auto"/>
              </w:rPr>
            </w:pPr>
            <w:r>
              <w:rPr>
                <w:rFonts w:ascii="MS PGothic" w:cs="MS PGothic" w:eastAsia="MS PGothic" w:hAnsi="MS PGothic"/>
                <w:sz w:val="18"/>
                <w:szCs w:val="18"/>
                <w:color w:val="auto"/>
                <w:highlight w:val="black"/>
                <w:w w:val="77"/>
              </w:rPr>
              <w:t>☐</w:t>
            </w:r>
          </w:p>
        </w:tc>
      </w:tr>
      <w:tr>
        <w:trPr>
          <w:trHeight w:val="303"/>
        </w:trPr>
        <w:tc>
          <w:tcPr>
            <w:tcW w:w="216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2740" w:type="dxa"/>
            <w:vAlign w:val="bottom"/>
          </w:tcPr>
          <w:p>
            <w:pPr>
              <w:spacing w:after="0"/>
              <w:rPr>
                <w:sz w:val="24"/>
                <w:szCs w:val="24"/>
                <w:color w:val="auto"/>
              </w:rPr>
            </w:pPr>
          </w:p>
        </w:tc>
        <w:tc>
          <w:tcPr>
            <w:tcW w:w="250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Emerging growth company</w:t>
            </w:r>
          </w:p>
        </w:tc>
        <w:tc>
          <w:tcPr>
            <w:tcW w:w="200" w:type="dxa"/>
            <w:vAlign w:val="bottom"/>
          </w:tcPr>
          <w:p>
            <w:pPr>
              <w:ind w:left="40"/>
              <w:spacing w:after="0" w:line="181" w:lineRule="exact"/>
              <w:rPr>
                <w:sz w:val="20"/>
                <w:szCs w:val="20"/>
                <w:color w:val="auto"/>
              </w:rPr>
            </w:pPr>
            <w:r>
              <w:rPr>
                <w:rFonts w:ascii="MS PGothic" w:cs="MS PGothic" w:eastAsia="MS PGothic" w:hAnsi="MS PGothic"/>
                <w:sz w:val="18"/>
                <w:szCs w:val="18"/>
                <w:color w:val="auto"/>
                <w:highlight w:val="black"/>
                <w:w w:val="77"/>
              </w:rPr>
              <w:t>☐</w:t>
            </w:r>
          </w:p>
        </w:tc>
      </w:tr>
    </w:tbl>
    <w:p>
      <w:pPr>
        <w:spacing w:after="0" w:line="89" w:lineRule="exact"/>
        <w:rPr>
          <w:sz w:val="24"/>
          <w:szCs w:val="24"/>
          <w:color w:val="auto"/>
        </w:rPr>
      </w:pPr>
    </w:p>
    <w:p>
      <w:pPr>
        <w:ind w:right="16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highlight w:val="black"/>
        </w:rPr>
        <w:t>☒</w:t>
      </w:r>
    </w:p>
    <w:p>
      <w:pPr>
        <w:spacing w:after="0" w:line="63"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the number of shares outstanding of each of the registrant’s classes of common stock, as of the latest practicable date:</w:t>
      </w:r>
    </w:p>
    <w:p>
      <w:pPr>
        <w:spacing w:after="0" w:line="30"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As of October 27, 2026, BrightSpire Capital, Inc. had 124,676,733 shares of Class A common stock, par value $0.01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741680</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120015</wp:posOffset>
            </wp:positionV>
            <wp:extent cx="7115175"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15175"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94615</wp:posOffset>
            </wp:positionV>
            <wp:extent cx="711517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07"/>
        </w:trPr>
        <w:tc>
          <w:tcPr>
            <w:tcW w:w="1420" w:type="dxa"/>
            <w:vAlign w:val="bottom"/>
            <w:gridSpan w:val="8"/>
          </w:tcPr>
          <w:p>
            <w:pPr>
              <w:spacing w:after="0"/>
              <w:rPr>
                <w:sz w:val="20"/>
                <w:szCs w:val="20"/>
                <w:color w:val="auto"/>
              </w:rPr>
            </w:pPr>
            <w:r>
              <w:rPr>
                <w:rFonts w:ascii="Times New Roman" w:cs="Times New Roman" w:eastAsia="Times New Roman" w:hAnsi="Times New Roman"/>
                <w:sz w:val="18"/>
                <w:szCs w:val="18"/>
                <w:color w:val="0000FF"/>
              </w:rPr>
              <w:t>Table of Contents</w:t>
            </w:r>
          </w:p>
        </w:tc>
        <w:tc>
          <w:tcPr>
            <w:tcW w:w="3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884"/>
        </w:trPr>
        <w:tc>
          <w:tcPr>
            <w:tcW w:w="20" w:type="dxa"/>
            <w:vAlign w:val="bottom"/>
            <w:tcBorders>
              <w:top w:val="single" w:sz="8" w:color="0000FF"/>
            </w:tcBorders>
          </w:tcPr>
          <w:p>
            <w:pPr>
              <w:spacing w:after="0"/>
              <w:rPr>
                <w:sz w:val="24"/>
                <w:szCs w:val="24"/>
                <w:color w:val="auto"/>
              </w:rPr>
            </w:pPr>
          </w:p>
        </w:tc>
        <w:tc>
          <w:tcPr>
            <w:tcW w:w="44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500" w:type="dxa"/>
            <w:vAlign w:val="bottom"/>
            <w:tcBorders>
              <w:top w:val="single" w:sz="8" w:color="0000FF"/>
            </w:tcBorders>
          </w:tcPr>
          <w:p>
            <w:pPr>
              <w:spacing w:after="0"/>
              <w:rPr>
                <w:sz w:val="24"/>
                <w:szCs w:val="24"/>
                <w:color w:val="auto"/>
              </w:rPr>
            </w:pP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880" w:type="dxa"/>
            <w:vAlign w:val="bottom"/>
            <w:gridSpan w:val="10"/>
          </w:tcPr>
          <w:p>
            <w:pPr>
              <w:jc w:val="center"/>
              <w:ind w:right="3160"/>
              <w:spacing w:after="0"/>
              <w:rPr>
                <w:sz w:val="20"/>
                <w:szCs w:val="20"/>
                <w:color w:val="auto"/>
              </w:rPr>
            </w:pPr>
            <w:r>
              <w:rPr>
                <w:rFonts w:ascii="Times New Roman" w:cs="Times New Roman" w:eastAsia="Times New Roman" w:hAnsi="Times New Roman"/>
                <w:sz w:val="18"/>
                <w:szCs w:val="18"/>
                <w:b w:val="1"/>
                <w:bCs w:val="1"/>
                <w:color w:val="auto"/>
                <w:w w:val="99"/>
              </w:rPr>
              <w:t>BRIGHTSPIRE CAPITAL, INC.</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5620" w:type="dxa"/>
            <w:vAlign w:val="bottom"/>
            <w:gridSpan w:val="9"/>
          </w:tcPr>
          <w:p>
            <w:pPr>
              <w:jc w:val="center"/>
              <w:ind w:right="4400"/>
              <w:spacing w:after="0"/>
              <w:rPr>
                <w:sz w:val="20"/>
                <w:szCs w:val="20"/>
                <w:color w:val="auto"/>
              </w:rPr>
            </w:pPr>
            <w:r>
              <w:rPr>
                <w:rFonts w:ascii="Times New Roman" w:cs="Times New Roman" w:eastAsia="Times New Roman" w:hAnsi="Times New Roman"/>
                <w:sz w:val="18"/>
                <w:szCs w:val="18"/>
                <w:b w:val="1"/>
                <w:bCs w:val="1"/>
                <w:color w:val="auto"/>
              </w:rPr>
              <w:t>FORM 10-Q</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4"/>
        </w:trPr>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880" w:type="dxa"/>
            <w:vAlign w:val="bottom"/>
            <w:gridSpan w:val="10"/>
          </w:tcPr>
          <w:p>
            <w:pPr>
              <w:jc w:val="center"/>
              <w:ind w:right="3160"/>
              <w:spacing w:after="0"/>
              <w:rPr>
                <w:sz w:val="20"/>
                <w:szCs w:val="20"/>
                <w:color w:val="auto"/>
              </w:rPr>
            </w:pPr>
            <w:r>
              <w:rPr>
                <w:rFonts w:ascii="Times New Roman" w:cs="Times New Roman" w:eastAsia="Times New Roman" w:hAnsi="Times New Roman"/>
                <w:sz w:val="18"/>
                <w:szCs w:val="18"/>
                <w:b w:val="1"/>
                <w:bCs w:val="1"/>
                <w:color w:val="auto"/>
                <w:w w:val="98"/>
              </w:rPr>
              <w:t>TABLE OF CONTENTS</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20" w:type="dxa"/>
            <w:vAlign w:val="bottom"/>
          </w:tcPr>
          <w:p>
            <w:pPr>
              <w:spacing w:after="0"/>
              <w:rPr>
                <w:sz w:val="24"/>
                <w:szCs w:val="24"/>
                <w:color w:val="auto"/>
              </w:rPr>
            </w:pPr>
          </w:p>
        </w:tc>
        <w:tc>
          <w:tcPr>
            <w:tcW w:w="4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w w:val="95"/>
              </w:rPr>
              <w:t>Index</w:t>
            </w:r>
          </w:p>
        </w:tc>
        <w:tc>
          <w:tcPr>
            <w:tcW w:w="940" w:type="dxa"/>
            <w:vAlign w:val="bottom"/>
            <w:gridSpan w:val="5"/>
          </w:tcPr>
          <w:p>
            <w:pPr>
              <w:spacing w:after="0"/>
              <w:rPr>
                <w:sz w:val="24"/>
                <w:szCs w:val="24"/>
                <w:color w:val="auto"/>
              </w:rPr>
            </w:pPr>
          </w:p>
        </w:tc>
        <w:tc>
          <w:tcPr>
            <w:tcW w:w="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8"/>
                <w:szCs w:val="18"/>
                <w:b w:val="1"/>
                <w:bCs w:val="1"/>
                <w:color w:val="auto"/>
                <w:w w:val="97"/>
              </w:rPr>
              <w:t>Page</w:t>
            </w:r>
          </w:p>
        </w:tc>
        <w:tc>
          <w:tcPr>
            <w:tcW w:w="0" w:type="dxa"/>
            <w:vAlign w:val="bottom"/>
          </w:tcPr>
          <w:p>
            <w:pPr>
              <w:spacing w:after="0"/>
              <w:rPr>
                <w:sz w:val="1"/>
                <w:szCs w:val="1"/>
                <w:color w:val="auto"/>
              </w:rPr>
            </w:pPr>
          </w:p>
        </w:tc>
      </w:tr>
      <w:tr>
        <w:trPr>
          <w:trHeight w:val="493"/>
        </w:trPr>
        <w:tc>
          <w:tcPr>
            <w:tcW w:w="20" w:type="dxa"/>
            <w:vAlign w:val="bottom"/>
          </w:tcPr>
          <w:p>
            <w:pPr>
              <w:spacing w:after="0"/>
              <w:rPr>
                <w:sz w:val="24"/>
                <w:szCs w:val="24"/>
                <w:color w:val="auto"/>
              </w:rPr>
            </w:pPr>
          </w:p>
        </w:tc>
        <w:tc>
          <w:tcPr>
            <w:tcW w:w="1400" w:type="dxa"/>
            <w:vAlign w:val="bottom"/>
            <w:gridSpan w:val="7"/>
          </w:tcPr>
          <w:p>
            <w:pPr>
              <w:spacing w:after="0"/>
              <w:rPr>
                <w:sz w:val="20"/>
                <w:szCs w:val="20"/>
                <w:color w:val="auto"/>
              </w:rPr>
            </w:pPr>
            <w:r>
              <w:rPr>
                <w:rFonts w:ascii="Times New Roman" w:cs="Times New Roman" w:eastAsia="Times New Roman" w:hAnsi="Times New Roman"/>
                <w:sz w:val="18"/>
                <w:szCs w:val="18"/>
                <w:color w:val="0000FF"/>
              </w:rPr>
              <w:t>Part I.</w:t>
            </w:r>
          </w:p>
        </w:tc>
        <w:tc>
          <w:tcPr>
            <w:tcW w:w="9220" w:type="dxa"/>
            <w:vAlign w:val="bottom"/>
            <w:gridSpan w:val="18"/>
          </w:tcPr>
          <w:p>
            <w:pPr>
              <w:ind w:left="20"/>
              <w:spacing w:after="0"/>
              <w:rPr>
                <w:sz w:val="20"/>
                <w:szCs w:val="20"/>
                <w:color w:val="auto"/>
              </w:rPr>
            </w:pPr>
            <w:r>
              <w:rPr>
                <w:rFonts w:ascii="Times New Roman" w:cs="Times New Roman" w:eastAsia="Times New Roman" w:hAnsi="Times New Roman"/>
                <w:sz w:val="18"/>
                <w:szCs w:val="18"/>
                <w:color w:val="0000FF"/>
              </w:rPr>
              <w:t>Financial Information</w:t>
            </w:r>
          </w:p>
        </w:tc>
        <w:tc>
          <w:tcPr>
            <w:tcW w:w="320" w:type="dxa"/>
            <w:vAlign w:val="bottom"/>
            <w:gridSpan w:val="3"/>
          </w:tcPr>
          <w:p>
            <w:pPr>
              <w:jc w:val="center"/>
              <w:ind w:left="130"/>
              <w:spacing w:after="0"/>
              <w:rPr>
                <w:sz w:val="20"/>
                <w:szCs w:val="20"/>
                <w:color w:val="auto"/>
              </w:rPr>
            </w:pPr>
            <w:r>
              <w:rPr>
                <w:rFonts w:ascii="Times New Roman" w:cs="Times New Roman" w:eastAsia="Times New Roman" w:hAnsi="Times New Roman"/>
                <w:sz w:val="18"/>
                <w:szCs w:val="18"/>
                <w:color w:val="0000FF"/>
              </w:rPr>
              <w:t>3</w:t>
            </w: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46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w w:val="82"/>
              </w:rPr>
              <w:t>Item 1.</w:t>
            </w:r>
          </w:p>
        </w:tc>
        <w:tc>
          <w:tcPr>
            <w:tcW w:w="940" w:type="dxa"/>
            <w:vAlign w:val="bottom"/>
            <w:gridSpan w:val="5"/>
          </w:tcPr>
          <w:p>
            <w:pPr>
              <w:spacing w:after="0"/>
              <w:rPr>
                <w:sz w:val="19"/>
                <w:szCs w:val="19"/>
                <w:color w:val="auto"/>
              </w:rPr>
            </w:pPr>
          </w:p>
        </w:tc>
        <w:tc>
          <w:tcPr>
            <w:tcW w:w="1520" w:type="dxa"/>
            <w:vAlign w:val="bottom"/>
            <w:tcBorders>
              <w:bottom w:val="single" w:sz="8" w:color="0000FF"/>
            </w:tcBorders>
            <w:gridSpan w:val="6"/>
          </w:tcPr>
          <w:p>
            <w:pPr>
              <w:ind w:left="20"/>
              <w:spacing w:after="0"/>
              <w:rPr>
                <w:sz w:val="20"/>
                <w:szCs w:val="20"/>
                <w:color w:val="auto"/>
              </w:rPr>
            </w:pPr>
            <w:r>
              <w:rPr>
                <w:rFonts w:ascii="Times New Roman" w:cs="Times New Roman" w:eastAsia="Times New Roman" w:hAnsi="Times New Roman"/>
                <w:sz w:val="18"/>
                <w:szCs w:val="18"/>
                <w:color w:val="0000FF"/>
                <w:w w:val="98"/>
              </w:rPr>
              <w:t>Financial Statements</w:t>
            </w:r>
          </w:p>
        </w:tc>
        <w:tc>
          <w:tcPr>
            <w:tcW w:w="7700" w:type="dxa"/>
            <w:vAlign w:val="bottom"/>
            <w:gridSpan w:val="12"/>
          </w:tcPr>
          <w:p>
            <w:pPr>
              <w:spacing w:after="0"/>
              <w:rPr>
                <w:sz w:val="19"/>
                <w:szCs w:val="19"/>
                <w:color w:val="auto"/>
              </w:rPr>
            </w:pPr>
          </w:p>
        </w:tc>
        <w:tc>
          <w:tcPr>
            <w:tcW w:w="220" w:type="dxa"/>
            <w:vAlign w:val="bottom"/>
            <w:gridSpan w:val="2"/>
          </w:tcPr>
          <w:p>
            <w:pPr>
              <w:spacing w:after="0"/>
              <w:rPr>
                <w:sz w:val="19"/>
                <w:szCs w:val="19"/>
                <w:color w:val="auto"/>
              </w:rPr>
            </w:pPr>
          </w:p>
        </w:tc>
        <w:tc>
          <w:tcPr>
            <w:tcW w:w="100" w:type="dxa"/>
            <w:vAlign w:val="bottom"/>
            <w:tcBorders>
              <w:bottom w:val="single" w:sz="8" w:color="0000FF"/>
            </w:tcBorders>
          </w:tcPr>
          <w:p>
            <w:pPr>
              <w:jc w:val="center"/>
              <w:spacing w:after="0"/>
              <w:rPr>
                <w:sz w:val="20"/>
                <w:szCs w:val="20"/>
                <w:color w:val="auto"/>
              </w:rPr>
            </w:pPr>
            <w:r>
              <w:rPr>
                <w:rFonts w:ascii="Times New Roman" w:cs="Times New Roman" w:eastAsia="Times New Roman" w:hAnsi="Times New Roman"/>
                <w:sz w:val="18"/>
                <w:szCs w:val="18"/>
                <w:color w:val="0000FF"/>
              </w:rPr>
              <w:t>3</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20" w:type="dxa"/>
            <w:vAlign w:val="bottom"/>
            <w:tcBorders>
              <w:bottom w:val="single" w:sz="8" w:color="0000FF"/>
            </w:tcBorders>
            <w:gridSpan w:val="13"/>
          </w:tcPr>
          <w:p>
            <w:pPr>
              <w:ind w:left="20"/>
              <w:spacing w:after="0"/>
              <w:rPr>
                <w:sz w:val="20"/>
                <w:szCs w:val="20"/>
                <w:color w:val="auto"/>
              </w:rPr>
            </w:pPr>
            <w:r>
              <w:rPr>
                <w:rFonts w:ascii="Times New Roman" w:cs="Times New Roman" w:eastAsia="Times New Roman" w:hAnsi="Times New Roman"/>
                <w:sz w:val="18"/>
                <w:szCs w:val="18"/>
                <w:color w:val="0000FF"/>
                <w:w w:val="99"/>
              </w:rPr>
              <w:t>Consolidated Balance Sheets (unaudited) as of September 30, 2026 and December 31, 2025</w:t>
            </w:r>
          </w:p>
        </w:tc>
        <w:tc>
          <w:tcPr>
            <w:tcW w:w="2600" w:type="dxa"/>
            <w:vAlign w:val="bottom"/>
            <w:gridSpan w:val="5"/>
          </w:tcPr>
          <w:p>
            <w:pPr>
              <w:spacing w:after="0"/>
              <w:rPr>
                <w:sz w:val="19"/>
                <w:szCs w:val="19"/>
                <w:color w:val="auto"/>
              </w:rPr>
            </w:pPr>
          </w:p>
        </w:tc>
        <w:tc>
          <w:tcPr>
            <w:tcW w:w="220" w:type="dxa"/>
            <w:vAlign w:val="bottom"/>
            <w:gridSpan w:val="2"/>
          </w:tcPr>
          <w:p>
            <w:pPr>
              <w:spacing w:after="0"/>
              <w:rPr>
                <w:sz w:val="19"/>
                <w:szCs w:val="19"/>
                <w:color w:val="auto"/>
              </w:rPr>
            </w:pPr>
          </w:p>
        </w:tc>
        <w:tc>
          <w:tcPr>
            <w:tcW w:w="100" w:type="dxa"/>
            <w:vAlign w:val="bottom"/>
            <w:tcBorders>
              <w:bottom w:val="single" w:sz="8" w:color="0000FF"/>
            </w:tcBorders>
          </w:tcPr>
          <w:p>
            <w:pPr>
              <w:jc w:val="center"/>
              <w:spacing w:after="0"/>
              <w:rPr>
                <w:sz w:val="20"/>
                <w:szCs w:val="20"/>
                <w:color w:val="auto"/>
              </w:rPr>
            </w:pPr>
            <w:r>
              <w:rPr>
                <w:rFonts w:ascii="Times New Roman" w:cs="Times New Roman" w:eastAsia="Times New Roman" w:hAnsi="Times New Roman"/>
                <w:sz w:val="18"/>
                <w:szCs w:val="18"/>
                <w:color w:val="0000FF"/>
              </w:rPr>
              <w:t>3</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580" w:type="dxa"/>
            <w:vAlign w:val="bottom"/>
            <w:tcBorders>
              <w:bottom w:val="single" w:sz="8" w:color="0000FF"/>
            </w:tcBorders>
            <w:gridSpan w:val="16"/>
          </w:tcPr>
          <w:p>
            <w:pPr>
              <w:ind w:left="20"/>
              <w:spacing w:after="0"/>
              <w:rPr>
                <w:sz w:val="20"/>
                <w:szCs w:val="20"/>
                <w:color w:val="auto"/>
              </w:rPr>
            </w:pPr>
            <w:r>
              <w:rPr>
                <w:rFonts w:ascii="Times New Roman" w:cs="Times New Roman" w:eastAsia="Times New Roman" w:hAnsi="Times New Roman"/>
                <w:sz w:val="18"/>
                <w:szCs w:val="18"/>
                <w:color w:val="0000FF"/>
                <w:w w:val="99"/>
              </w:rPr>
              <w:t>Consolidated Statements of Operations (unaudited) for the three and nine months ended September 30, 2026, and 2025</w:t>
            </w:r>
          </w:p>
        </w:tc>
        <w:tc>
          <w:tcPr>
            <w:tcW w:w="640" w:type="dxa"/>
            <w:vAlign w:val="bottom"/>
            <w:gridSpan w:val="2"/>
          </w:tcPr>
          <w:p>
            <w:pPr>
              <w:spacing w:after="0"/>
              <w:rPr>
                <w:sz w:val="19"/>
                <w:szCs w:val="19"/>
                <w:color w:val="auto"/>
              </w:rPr>
            </w:pPr>
          </w:p>
        </w:tc>
        <w:tc>
          <w:tcPr>
            <w:tcW w:w="220" w:type="dxa"/>
            <w:vAlign w:val="bottom"/>
            <w:gridSpan w:val="2"/>
          </w:tcPr>
          <w:p>
            <w:pPr>
              <w:spacing w:after="0"/>
              <w:rPr>
                <w:sz w:val="19"/>
                <w:szCs w:val="19"/>
                <w:color w:val="auto"/>
              </w:rPr>
            </w:pPr>
          </w:p>
        </w:tc>
        <w:tc>
          <w:tcPr>
            <w:tcW w:w="100" w:type="dxa"/>
            <w:vAlign w:val="bottom"/>
            <w:tcBorders>
              <w:bottom w:val="single" w:sz="8" w:color="0000FF"/>
            </w:tcBorders>
          </w:tcPr>
          <w:p>
            <w:pPr>
              <w:jc w:val="center"/>
              <w:spacing w:after="0"/>
              <w:rPr>
                <w:sz w:val="20"/>
                <w:szCs w:val="20"/>
                <w:color w:val="auto"/>
              </w:rPr>
            </w:pPr>
            <w:r>
              <w:rPr>
                <w:rFonts w:ascii="Times New Roman" w:cs="Times New Roman" w:eastAsia="Times New Roman" w:hAnsi="Times New Roman"/>
                <w:sz w:val="18"/>
                <w:szCs w:val="18"/>
                <w:color w:val="0000FF"/>
              </w:rPr>
              <w:t>5</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20" w:type="dxa"/>
            <w:vAlign w:val="bottom"/>
            <w:gridSpan w:val="18"/>
          </w:tcPr>
          <w:p>
            <w:pPr>
              <w:ind w:left="20"/>
              <w:spacing w:after="0"/>
              <w:rPr>
                <w:sz w:val="20"/>
                <w:szCs w:val="20"/>
                <w:color w:val="auto"/>
              </w:rPr>
            </w:pPr>
            <w:r>
              <w:rPr>
                <w:rFonts w:ascii="Times New Roman" w:cs="Times New Roman" w:eastAsia="Times New Roman" w:hAnsi="Times New Roman"/>
                <w:sz w:val="18"/>
                <w:szCs w:val="18"/>
                <w:color w:val="0000FF"/>
              </w:rPr>
              <w:t>Consolidated Statements of Comprehensive Income (unaudited) for the three and nine months ended September 30, 2026 and</w:t>
            </w:r>
          </w:p>
        </w:tc>
        <w:tc>
          <w:tcPr>
            <w:tcW w:w="220" w:type="dxa"/>
            <w:vAlign w:val="bottom"/>
            <w:gridSpan w:val="2"/>
            <w:vMerge w:val="restart"/>
          </w:tcPr>
          <w:p>
            <w:pPr>
              <w:spacing w:after="0"/>
              <w:rPr>
                <w:sz w:val="19"/>
                <w:szCs w:val="19"/>
                <w:color w:val="auto"/>
              </w:rPr>
            </w:pPr>
          </w:p>
        </w:tc>
        <w:tc>
          <w:tcPr>
            <w:tcW w:w="1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0000FF"/>
              </w:rPr>
              <w:t>6</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60" w:type="dxa"/>
            <w:vAlign w:val="bottom"/>
            <w:tcBorders>
              <w:top w:val="single" w:sz="8" w:color="0000FF"/>
              <w:bottom w:val="single" w:sz="8" w:color="0000FF"/>
            </w:tcBorders>
          </w:tcPr>
          <w:p>
            <w:pPr>
              <w:ind w:left="20"/>
              <w:spacing w:after="0" w:line="142" w:lineRule="exact"/>
              <w:rPr>
                <w:sz w:val="20"/>
                <w:szCs w:val="20"/>
                <w:color w:val="auto"/>
              </w:rPr>
            </w:pPr>
            <w:r>
              <w:rPr>
                <w:rFonts w:ascii="Times New Roman" w:cs="Times New Roman" w:eastAsia="Times New Roman" w:hAnsi="Times New Roman"/>
                <w:sz w:val="16"/>
                <w:szCs w:val="16"/>
                <w:color w:val="0000FF"/>
                <w:w w:val="99"/>
              </w:rPr>
              <w:t>2025</w:t>
            </w:r>
          </w:p>
        </w:tc>
        <w:tc>
          <w:tcPr>
            <w:tcW w:w="240" w:type="dxa"/>
            <w:vAlign w:val="bottom"/>
            <w:tcBorders>
              <w:top w:val="single" w:sz="8" w:color="0000FF"/>
              <w:bottom w:val="single" w:sz="8" w:color="0000FF"/>
            </w:tcBorders>
          </w:tcPr>
          <w:p>
            <w:pPr>
              <w:spacing w:after="0"/>
              <w:rPr>
                <w:sz w:val="14"/>
                <w:szCs w:val="14"/>
                <w:color w:val="auto"/>
              </w:rPr>
            </w:pPr>
          </w:p>
        </w:tc>
        <w:tc>
          <w:tcPr>
            <w:tcW w:w="320" w:type="dxa"/>
            <w:vAlign w:val="bottom"/>
            <w:tcBorders>
              <w:top w:val="single" w:sz="8" w:color="0000FF"/>
            </w:tcBorders>
          </w:tcPr>
          <w:p>
            <w:pPr>
              <w:spacing w:after="0"/>
              <w:rPr>
                <w:sz w:val="14"/>
                <w:szCs w:val="14"/>
                <w:color w:val="auto"/>
              </w:rPr>
            </w:pPr>
          </w:p>
        </w:tc>
        <w:tc>
          <w:tcPr>
            <w:tcW w:w="40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180" w:type="dxa"/>
            <w:vAlign w:val="bottom"/>
            <w:tcBorders>
              <w:top w:val="single" w:sz="8" w:color="0000FF"/>
            </w:tcBorders>
          </w:tcPr>
          <w:p>
            <w:pPr>
              <w:spacing w:after="0"/>
              <w:rPr>
                <w:sz w:val="14"/>
                <w:szCs w:val="14"/>
                <w:color w:val="auto"/>
              </w:rPr>
            </w:pPr>
          </w:p>
        </w:tc>
        <w:tc>
          <w:tcPr>
            <w:tcW w:w="260" w:type="dxa"/>
            <w:vAlign w:val="bottom"/>
            <w:tcBorders>
              <w:top w:val="single" w:sz="8" w:color="0000FF"/>
            </w:tcBorders>
          </w:tcPr>
          <w:p>
            <w:pPr>
              <w:spacing w:after="0"/>
              <w:rPr>
                <w:sz w:val="14"/>
                <w:szCs w:val="14"/>
                <w:color w:val="auto"/>
              </w:rPr>
            </w:pPr>
          </w:p>
        </w:tc>
        <w:tc>
          <w:tcPr>
            <w:tcW w:w="560" w:type="dxa"/>
            <w:vAlign w:val="bottom"/>
            <w:tcBorders>
              <w:top w:val="single" w:sz="8" w:color="0000FF"/>
            </w:tcBorders>
          </w:tcPr>
          <w:p>
            <w:pPr>
              <w:spacing w:after="0"/>
              <w:rPr>
                <w:sz w:val="14"/>
                <w:szCs w:val="14"/>
                <w:color w:val="auto"/>
              </w:rPr>
            </w:pPr>
          </w:p>
        </w:tc>
        <w:tc>
          <w:tcPr>
            <w:tcW w:w="1260" w:type="dxa"/>
            <w:vAlign w:val="bottom"/>
            <w:tcBorders>
              <w:top w:val="single" w:sz="8" w:color="0000FF"/>
            </w:tcBorders>
          </w:tcPr>
          <w:p>
            <w:pPr>
              <w:spacing w:after="0"/>
              <w:rPr>
                <w:sz w:val="14"/>
                <w:szCs w:val="14"/>
                <w:color w:val="auto"/>
              </w:rPr>
            </w:pPr>
          </w:p>
        </w:tc>
        <w:tc>
          <w:tcPr>
            <w:tcW w:w="440" w:type="dxa"/>
            <w:vAlign w:val="bottom"/>
            <w:tcBorders>
              <w:top w:val="single" w:sz="8" w:color="0000FF"/>
            </w:tcBorders>
          </w:tcPr>
          <w:p>
            <w:pPr>
              <w:spacing w:after="0"/>
              <w:rPr>
                <w:sz w:val="14"/>
                <w:szCs w:val="14"/>
                <w:color w:val="auto"/>
              </w:rPr>
            </w:pPr>
          </w:p>
        </w:tc>
        <w:tc>
          <w:tcPr>
            <w:tcW w:w="320" w:type="dxa"/>
            <w:vAlign w:val="bottom"/>
            <w:tcBorders>
              <w:top w:val="single" w:sz="8" w:color="0000FF"/>
            </w:tcBorders>
          </w:tcPr>
          <w:p>
            <w:pPr>
              <w:spacing w:after="0"/>
              <w:rPr>
                <w:sz w:val="14"/>
                <w:szCs w:val="14"/>
                <w:color w:val="auto"/>
              </w:rPr>
            </w:pPr>
          </w:p>
        </w:tc>
        <w:tc>
          <w:tcPr>
            <w:tcW w:w="2100" w:type="dxa"/>
            <w:vAlign w:val="bottom"/>
            <w:tcBorders>
              <w:top w:val="single" w:sz="8" w:color="0000FF"/>
            </w:tcBorders>
          </w:tcPr>
          <w:p>
            <w:pPr>
              <w:spacing w:after="0"/>
              <w:rPr>
                <w:sz w:val="14"/>
                <w:szCs w:val="14"/>
                <w:color w:val="auto"/>
              </w:rPr>
            </w:pPr>
          </w:p>
        </w:tc>
        <w:tc>
          <w:tcPr>
            <w:tcW w:w="160" w:type="dxa"/>
            <w:vAlign w:val="bottom"/>
            <w:tcBorders>
              <w:top w:val="single" w:sz="8" w:color="0000FF"/>
            </w:tcBorders>
          </w:tcPr>
          <w:p>
            <w:pPr>
              <w:spacing w:after="0"/>
              <w:rPr>
                <w:sz w:val="14"/>
                <w:szCs w:val="14"/>
                <w:color w:val="auto"/>
              </w:rPr>
            </w:pPr>
          </w:p>
        </w:tc>
        <w:tc>
          <w:tcPr>
            <w:tcW w:w="1260" w:type="dxa"/>
            <w:vAlign w:val="bottom"/>
            <w:tcBorders>
              <w:top w:val="single" w:sz="8" w:color="0000FF"/>
            </w:tcBorders>
          </w:tcPr>
          <w:p>
            <w:pPr>
              <w:spacing w:after="0"/>
              <w:rPr>
                <w:sz w:val="14"/>
                <w:szCs w:val="14"/>
                <w:color w:val="auto"/>
              </w:rPr>
            </w:pPr>
          </w:p>
        </w:tc>
        <w:tc>
          <w:tcPr>
            <w:tcW w:w="340" w:type="dxa"/>
            <w:vAlign w:val="bottom"/>
            <w:tcBorders>
              <w:top w:val="single" w:sz="8" w:color="0000FF"/>
            </w:tcBorders>
          </w:tcPr>
          <w:p>
            <w:pPr>
              <w:spacing w:after="0"/>
              <w:rPr>
                <w:sz w:val="14"/>
                <w:szCs w:val="14"/>
                <w:color w:val="auto"/>
              </w:rPr>
            </w:pPr>
          </w:p>
        </w:tc>
        <w:tc>
          <w:tcPr>
            <w:tcW w:w="360" w:type="dxa"/>
            <w:vAlign w:val="bottom"/>
            <w:tcBorders>
              <w:top w:val="single" w:sz="8" w:color="0000FF"/>
            </w:tcBorders>
          </w:tcPr>
          <w:p>
            <w:pPr>
              <w:spacing w:after="0"/>
              <w:rPr>
                <w:sz w:val="14"/>
                <w:szCs w:val="14"/>
                <w:color w:val="auto"/>
              </w:rPr>
            </w:pPr>
          </w:p>
        </w:tc>
        <w:tc>
          <w:tcPr>
            <w:tcW w:w="560" w:type="dxa"/>
            <w:vAlign w:val="bottom"/>
            <w:tcBorders>
              <w:top w:val="single" w:sz="8" w:color="0000FF"/>
            </w:tcBorders>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gridSpan w:val="2"/>
            <w:vMerge w:val="continue"/>
          </w:tcPr>
          <w:p>
            <w:pPr>
              <w:spacing w:after="0"/>
              <w:rPr>
                <w:sz w:val="14"/>
                <w:szCs w:val="14"/>
                <w:color w:val="auto"/>
              </w:rPr>
            </w:pPr>
          </w:p>
        </w:tc>
        <w:tc>
          <w:tcPr>
            <w:tcW w:w="100" w:type="dxa"/>
            <w:vAlign w:val="bottom"/>
            <w:tcBorders>
              <w:bottom w:val="single" w:sz="8" w:color="0000FF"/>
            </w:tcBorders>
            <w:vMerge w:val="continue"/>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20" w:type="dxa"/>
            <w:vAlign w:val="bottom"/>
            <w:tcBorders>
              <w:bottom w:val="single" w:sz="8" w:color="0000FF"/>
            </w:tcBorders>
            <w:gridSpan w:val="15"/>
          </w:tcPr>
          <w:p>
            <w:pPr>
              <w:ind w:left="20"/>
              <w:spacing w:after="0"/>
              <w:rPr>
                <w:sz w:val="20"/>
                <w:szCs w:val="20"/>
                <w:color w:val="auto"/>
              </w:rPr>
            </w:pPr>
            <w:r>
              <w:rPr>
                <w:rFonts w:ascii="Times New Roman" w:cs="Times New Roman" w:eastAsia="Times New Roman" w:hAnsi="Times New Roman"/>
                <w:sz w:val="18"/>
                <w:szCs w:val="18"/>
                <w:color w:val="0000FF"/>
                <w:w w:val="99"/>
              </w:rPr>
              <w:t>Consolidated Statements of Equity (unaudited) for the three and nine months ended September 30, 2026 and 2025</w:t>
            </w:r>
          </w:p>
        </w:tc>
        <w:tc>
          <w:tcPr>
            <w:tcW w:w="1000" w:type="dxa"/>
            <w:vAlign w:val="bottom"/>
            <w:gridSpan w:val="3"/>
          </w:tcPr>
          <w:p>
            <w:pPr>
              <w:spacing w:after="0"/>
              <w:rPr>
                <w:sz w:val="19"/>
                <w:szCs w:val="19"/>
                <w:color w:val="auto"/>
              </w:rPr>
            </w:pPr>
          </w:p>
        </w:tc>
        <w:tc>
          <w:tcPr>
            <w:tcW w:w="220" w:type="dxa"/>
            <w:vAlign w:val="bottom"/>
            <w:gridSpan w:val="2"/>
          </w:tcPr>
          <w:p>
            <w:pPr>
              <w:spacing w:after="0"/>
              <w:rPr>
                <w:sz w:val="19"/>
                <w:szCs w:val="19"/>
                <w:color w:val="auto"/>
              </w:rPr>
            </w:pPr>
          </w:p>
        </w:tc>
        <w:tc>
          <w:tcPr>
            <w:tcW w:w="100" w:type="dxa"/>
            <w:vAlign w:val="bottom"/>
            <w:tcBorders>
              <w:bottom w:val="single" w:sz="8" w:color="0000FF"/>
            </w:tcBorders>
          </w:tcPr>
          <w:p>
            <w:pPr>
              <w:jc w:val="center"/>
              <w:spacing w:after="0"/>
              <w:rPr>
                <w:sz w:val="20"/>
                <w:szCs w:val="20"/>
                <w:color w:val="auto"/>
              </w:rPr>
            </w:pPr>
            <w:r>
              <w:rPr>
                <w:rFonts w:ascii="Times New Roman" w:cs="Times New Roman" w:eastAsia="Times New Roman" w:hAnsi="Times New Roman"/>
                <w:sz w:val="18"/>
                <w:szCs w:val="18"/>
                <w:color w:val="0000FF"/>
              </w:rPr>
              <w:t>7</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80" w:type="dxa"/>
            <w:vAlign w:val="bottom"/>
            <w:tcBorders>
              <w:bottom w:val="single" w:sz="8" w:color="0000FF"/>
            </w:tcBorders>
            <w:gridSpan w:val="14"/>
          </w:tcPr>
          <w:p>
            <w:pPr>
              <w:ind w:left="20"/>
              <w:spacing w:after="0"/>
              <w:rPr>
                <w:sz w:val="20"/>
                <w:szCs w:val="20"/>
                <w:color w:val="auto"/>
              </w:rPr>
            </w:pPr>
            <w:r>
              <w:rPr>
                <w:rFonts w:ascii="Times New Roman" w:cs="Times New Roman" w:eastAsia="Times New Roman" w:hAnsi="Times New Roman"/>
                <w:sz w:val="18"/>
                <w:szCs w:val="18"/>
                <w:color w:val="0000FF"/>
                <w:w w:val="99"/>
              </w:rPr>
              <w:t>Consolidated Statements of Cash Flows (unaudited) for the nine months ended September 30, 2026 and 2025</w:t>
            </w:r>
          </w:p>
        </w:tc>
        <w:tc>
          <w:tcPr>
            <w:tcW w:w="1340" w:type="dxa"/>
            <w:vAlign w:val="bottom"/>
            <w:gridSpan w:val="4"/>
          </w:tcPr>
          <w:p>
            <w:pPr>
              <w:spacing w:after="0"/>
              <w:rPr>
                <w:sz w:val="19"/>
                <w:szCs w:val="19"/>
                <w:color w:val="auto"/>
              </w:rPr>
            </w:pPr>
          </w:p>
        </w:tc>
        <w:tc>
          <w:tcPr>
            <w:tcW w:w="220" w:type="dxa"/>
            <w:vAlign w:val="bottom"/>
            <w:gridSpan w:val="2"/>
          </w:tcPr>
          <w:p>
            <w:pPr>
              <w:spacing w:after="0"/>
              <w:rPr>
                <w:sz w:val="19"/>
                <w:szCs w:val="19"/>
                <w:color w:val="auto"/>
              </w:rPr>
            </w:pPr>
          </w:p>
        </w:tc>
        <w:tc>
          <w:tcPr>
            <w:tcW w:w="100" w:type="dxa"/>
            <w:vAlign w:val="bottom"/>
            <w:tcBorders>
              <w:bottom w:val="single" w:sz="8" w:color="0000FF"/>
            </w:tcBorders>
          </w:tcPr>
          <w:p>
            <w:pPr>
              <w:jc w:val="center"/>
              <w:spacing w:after="0"/>
              <w:rPr>
                <w:sz w:val="20"/>
                <w:szCs w:val="20"/>
                <w:color w:val="auto"/>
              </w:rPr>
            </w:pPr>
            <w:r>
              <w:rPr>
                <w:rFonts w:ascii="Times New Roman" w:cs="Times New Roman" w:eastAsia="Times New Roman" w:hAnsi="Times New Roman"/>
                <w:sz w:val="18"/>
                <w:szCs w:val="18"/>
                <w:color w:val="0000FF"/>
              </w:rPr>
              <w:t>9</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040" w:type="dxa"/>
            <w:vAlign w:val="bottom"/>
            <w:tcBorders>
              <w:bottom w:val="single" w:sz="8" w:color="0000FF"/>
            </w:tcBorders>
            <w:gridSpan w:val="10"/>
          </w:tcPr>
          <w:p>
            <w:pPr>
              <w:ind w:left="20"/>
              <w:spacing w:after="0"/>
              <w:rPr>
                <w:sz w:val="20"/>
                <w:szCs w:val="20"/>
                <w:color w:val="auto"/>
              </w:rPr>
            </w:pPr>
            <w:r>
              <w:rPr>
                <w:rFonts w:ascii="Times New Roman" w:cs="Times New Roman" w:eastAsia="Times New Roman" w:hAnsi="Times New Roman"/>
                <w:sz w:val="18"/>
                <w:szCs w:val="18"/>
                <w:color w:val="0000FF"/>
                <w:w w:val="99"/>
              </w:rPr>
              <w:t>Notes to Consolidated Financial Statements (unaudited)</w:t>
            </w:r>
          </w:p>
        </w:tc>
        <w:tc>
          <w:tcPr>
            <w:tcW w:w="5180" w:type="dxa"/>
            <w:vAlign w:val="bottom"/>
            <w:gridSpan w:val="8"/>
          </w:tcPr>
          <w:p>
            <w:pPr>
              <w:spacing w:after="0"/>
              <w:rPr>
                <w:sz w:val="19"/>
                <w:szCs w:val="19"/>
                <w:color w:val="auto"/>
              </w:rPr>
            </w:pPr>
          </w:p>
        </w:tc>
        <w:tc>
          <w:tcPr>
            <w:tcW w:w="220" w:type="dxa"/>
            <w:vAlign w:val="bottom"/>
            <w:gridSpan w:val="2"/>
          </w:tcPr>
          <w:p>
            <w:pPr>
              <w:spacing w:after="0"/>
              <w:rPr>
                <w:sz w:val="19"/>
                <w:szCs w:val="19"/>
                <w:color w:val="auto"/>
              </w:rPr>
            </w:pPr>
          </w:p>
        </w:tc>
        <w:tc>
          <w:tcPr>
            <w:tcW w:w="100" w:type="dxa"/>
            <w:vAlign w:val="bottom"/>
            <w:tcBorders>
              <w:bottom w:val="single" w:sz="8" w:color="0000FF"/>
            </w:tcBorders>
          </w:tcPr>
          <w:p>
            <w:pPr>
              <w:jc w:val="center"/>
              <w:spacing w:after="0"/>
              <w:rPr>
                <w:sz w:val="20"/>
                <w:szCs w:val="20"/>
                <w:color w:val="auto"/>
              </w:rPr>
            </w:pPr>
            <w:r>
              <w:rPr>
                <w:rFonts w:ascii="Times New Roman" w:cs="Times New Roman" w:eastAsia="Times New Roman" w:hAnsi="Times New Roman"/>
                <w:sz w:val="18"/>
                <w:szCs w:val="18"/>
                <w:color w:val="0000FF"/>
                <w:w w:val="77"/>
              </w:rPr>
              <w:t>11</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40" w:type="dxa"/>
            <w:vAlign w:val="bottom"/>
            <w:gridSpan w:val="3"/>
          </w:tcPr>
          <w:p>
            <w:pPr>
              <w:spacing w:after="0"/>
              <w:rPr>
                <w:sz w:val="20"/>
                <w:szCs w:val="20"/>
                <w:color w:val="auto"/>
              </w:rPr>
            </w:pPr>
            <w:r>
              <w:rPr>
                <w:rFonts w:ascii="Times New Roman" w:cs="Times New Roman" w:eastAsia="Times New Roman" w:hAnsi="Times New Roman"/>
                <w:sz w:val="18"/>
                <w:szCs w:val="18"/>
                <w:color w:val="0000FF"/>
              </w:rPr>
              <w:t>Item 2.</w:t>
            </w:r>
          </w:p>
        </w:tc>
        <w:tc>
          <w:tcPr>
            <w:tcW w:w="860" w:type="dxa"/>
            <w:vAlign w:val="bottom"/>
            <w:gridSpan w:val="4"/>
          </w:tcPr>
          <w:p>
            <w:pPr>
              <w:spacing w:after="0"/>
              <w:rPr>
                <w:sz w:val="19"/>
                <w:szCs w:val="19"/>
                <w:color w:val="auto"/>
              </w:rPr>
            </w:pPr>
          </w:p>
        </w:tc>
        <w:tc>
          <w:tcPr>
            <w:tcW w:w="9220" w:type="dxa"/>
            <w:vAlign w:val="bottom"/>
            <w:gridSpan w:val="18"/>
          </w:tcPr>
          <w:p>
            <w:pPr>
              <w:ind w:left="20"/>
              <w:spacing w:after="0"/>
              <w:rPr>
                <w:sz w:val="20"/>
                <w:szCs w:val="20"/>
                <w:color w:val="auto"/>
              </w:rPr>
            </w:pPr>
            <w:r>
              <w:rPr>
                <w:rFonts w:ascii="Times New Roman" w:cs="Times New Roman" w:eastAsia="Times New Roman" w:hAnsi="Times New Roman"/>
                <w:sz w:val="18"/>
                <w:szCs w:val="18"/>
                <w:color w:val="0000FF"/>
              </w:rPr>
              <w:t>Management’s Discussion and Analysis of Financial Condition and Results of Operations</w:t>
            </w:r>
          </w:p>
        </w:tc>
        <w:tc>
          <w:tcPr>
            <w:tcW w:w="460" w:type="dxa"/>
            <w:vAlign w:val="bottom"/>
            <w:gridSpan w:val="4"/>
          </w:tcPr>
          <w:p>
            <w:pPr>
              <w:jc w:val="center"/>
              <w:spacing w:after="0"/>
              <w:rPr>
                <w:sz w:val="20"/>
                <w:szCs w:val="20"/>
                <w:color w:val="auto"/>
              </w:rPr>
            </w:pPr>
            <w:r>
              <w:rPr>
                <w:rFonts w:ascii="Times New Roman" w:cs="Times New Roman" w:eastAsia="Times New Roman" w:hAnsi="Times New Roman"/>
                <w:sz w:val="18"/>
                <w:szCs w:val="18"/>
                <w:color w:val="0000FF"/>
                <w:w w:val="99"/>
              </w:rPr>
              <w:t>46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0" w:type="dxa"/>
            <w:vAlign w:val="bottom"/>
            <w:gridSpan w:val="2"/>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260" w:type="dxa"/>
            <w:vAlign w:val="bottom"/>
            <w:shd w:val="clear" w:color="auto" w:fill="0000FF"/>
          </w:tcPr>
          <w:p>
            <w:pPr>
              <w:spacing w:after="0" w:line="20" w:lineRule="exact"/>
              <w:rPr>
                <w:sz w:val="1"/>
                <w:szCs w:val="1"/>
                <w:color w:val="auto"/>
              </w:rPr>
            </w:pPr>
          </w:p>
        </w:tc>
        <w:tc>
          <w:tcPr>
            <w:tcW w:w="760" w:type="dxa"/>
            <w:vAlign w:val="bottom"/>
            <w:gridSpan w:val="2"/>
            <w:shd w:val="clear" w:color="auto" w:fill="0000FF"/>
          </w:tcPr>
          <w:p>
            <w:pPr>
              <w:spacing w:after="0" w:line="20" w:lineRule="exact"/>
              <w:rPr>
                <w:sz w:val="1"/>
                <w:szCs w:val="1"/>
                <w:color w:val="auto"/>
              </w:rPr>
            </w:pPr>
          </w:p>
        </w:tc>
        <w:tc>
          <w:tcPr>
            <w:tcW w:w="2100" w:type="dxa"/>
            <w:vAlign w:val="bottom"/>
            <w:shd w:val="clear" w:color="auto" w:fill="0000FF"/>
          </w:tcPr>
          <w:p>
            <w:pPr>
              <w:spacing w:after="0" w:line="20" w:lineRule="exact"/>
              <w:rPr>
                <w:sz w:val="1"/>
                <w:szCs w:val="1"/>
                <w:color w:val="auto"/>
              </w:rPr>
            </w:pPr>
          </w:p>
        </w:tc>
        <w:tc>
          <w:tcPr>
            <w:tcW w:w="2760" w:type="dxa"/>
            <w:vAlign w:val="bottom"/>
            <w:gridSpan w:val="6"/>
          </w:tcPr>
          <w:p>
            <w:pPr>
              <w:spacing w:after="0" w:line="20" w:lineRule="exact"/>
              <w:rPr>
                <w:sz w:val="1"/>
                <w:szCs w:val="1"/>
                <w:color w:val="auto"/>
              </w:rPr>
            </w:pPr>
          </w:p>
        </w:tc>
        <w:tc>
          <w:tcPr>
            <w:tcW w:w="220" w:type="dxa"/>
            <w:vAlign w:val="bottom"/>
            <w:tcBorders>
              <w:right w:val="single" w:sz="8" w:color="0000FF"/>
            </w:tcBorders>
            <w:gridSpan w:val="2"/>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540" w:type="dxa"/>
            <w:vAlign w:val="bottom"/>
            <w:gridSpan w:val="3"/>
          </w:tcPr>
          <w:p>
            <w:pPr>
              <w:spacing w:after="0"/>
              <w:rPr>
                <w:sz w:val="20"/>
                <w:szCs w:val="20"/>
                <w:color w:val="auto"/>
              </w:rPr>
            </w:pPr>
            <w:r>
              <w:rPr>
                <w:rFonts w:ascii="Times New Roman" w:cs="Times New Roman" w:eastAsia="Times New Roman" w:hAnsi="Times New Roman"/>
                <w:sz w:val="18"/>
                <w:szCs w:val="18"/>
                <w:color w:val="0000FF"/>
              </w:rPr>
              <w:t>Item 3.</w:t>
            </w:r>
          </w:p>
        </w:tc>
        <w:tc>
          <w:tcPr>
            <w:tcW w:w="860" w:type="dxa"/>
            <w:vAlign w:val="bottom"/>
            <w:gridSpan w:val="4"/>
          </w:tcPr>
          <w:p>
            <w:pPr>
              <w:spacing w:after="0"/>
              <w:rPr>
                <w:sz w:val="19"/>
                <w:szCs w:val="19"/>
                <w:color w:val="auto"/>
              </w:rPr>
            </w:pPr>
          </w:p>
        </w:tc>
        <w:tc>
          <w:tcPr>
            <w:tcW w:w="6460" w:type="dxa"/>
            <w:vAlign w:val="bottom"/>
            <w:gridSpan w:val="12"/>
          </w:tcPr>
          <w:p>
            <w:pPr>
              <w:ind w:left="20"/>
              <w:spacing w:after="0"/>
              <w:rPr>
                <w:sz w:val="20"/>
                <w:szCs w:val="20"/>
                <w:color w:val="auto"/>
              </w:rPr>
            </w:pPr>
            <w:r>
              <w:rPr>
                <w:rFonts w:ascii="Times New Roman" w:cs="Times New Roman" w:eastAsia="Times New Roman" w:hAnsi="Times New Roman"/>
                <w:sz w:val="18"/>
                <w:szCs w:val="18"/>
                <w:color w:val="0000FF"/>
              </w:rPr>
              <w:t>Quantitative and Qualitative Disclosures About Market Risk</w:t>
            </w:r>
          </w:p>
        </w:tc>
        <w:tc>
          <w:tcPr>
            <w:tcW w:w="2760" w:type="dxa"/>
            <w:vAlign w:val="bottom"/>
            <w:gridSpan w:val="6"/>
          </w:tcPr>
          <w:p>
            <w:pPr>
              <w:spacing w:after="0"/>
              <w:rPr>
                <w:sz w:val="19"/>
                <w:szCs w:val="19"/>
                <w:color w:val="auto"/>
              </w:rPr>
            </w:pPr>
          </w:p>
        </w:tc>
        <w:tc>
          <w:tcPr>
            <w:tcW w:w="460" w:type="dxa"/>
            <w:vAlign w:val="bottom"/>
            <w:gridSpan w:val="4"/>
          </w:tcPr>
          <w:p>
            <w:pPr>
              <w:jc w:val="center"/>
              <w:spacing w:after="0"/>
              <w:rPr>
                <w:sz w:val="20"/>
                <w:szCs w:val="20"/>
                <w:color w:val="auto"/>
              </w:rPr>
            </w:pPr>
            <w:r>
              <w:rPr>
                <w:rFonts w:ascii="Times New Roman" w:cs="Times New Roman" w:eastAsia="Times New Roman" w:hAnsi="Times New Roman"/>
                <w:sz w:val="18"/>
                <w:szCs w:val="18"/>
                <w:color w:val="0000FF"/>
                <w:w w:val="99"/>
              </w:rPr>
              <w:t>76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0" w:type="dxa"/>
            <w:vAlign w:val="bottom"/>
            <w:gridSpan w:val="2"/>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260" w:type="dxa"/>
            <w:vAlign w:val="bottom"/>
            <w:shd w:val="clear" w:color="auto" w:fill="0000FF"/>
          </w:tcPr>
          <w:p>
            <w:pPr>
              <w:spacing w:after="0" w:line="20" w:lineRule="exact"/>
              <w:rPr>
                <w:sz w:val="1"/>
                <w:szCs w:val="1"/>
                <w:color w:val="auto"/>
              </w:rPr>
            </w:pPr>
          </w:p>
        </w:tc>
        <w:tc>
          <w:tcPr>
            <w:tcW w:w="760" w:type="dxa"/>
            <w:vAlign w:val="bottom"/>
            <w:gridSpan w:val="2"/>
            <w:shd w:val="clear" w:color="auto" w:fill="0000FF"/>
          </w:tcPr>
          <w:p>
            <w:pPr>
              <w:spacing w:after="0" w:line="20" w:lineRule="exact"/>
              <w:rPr>
                <w:sz w:val="1"/>
                <w:szCs w:val="1"/>
                <w:color w:val="auto"/>
              </w:rPr>
            </w:pPr>
          </w:p>
        </w:tc>
        <w:tc>
          <w:tcPr>
            <w:tcW w:w="4860" w:type="dxa"/>
            <w:vAlign w:val="bottom"/>
            <w:gridSpan w:val="7"/>
          </w:tcPr>
          <w:p>
            <w:pPr>
              <w:spacing w:after="0" w:line="20" w:lineRule="exact"/>
              <w:rPr>
                <w:sz w:val="1"/>
                <w:szCs w:val="1"/>
                <w:color w:val="auto"/>
              </w:rPr>
            </w:pPr>
          </w:p>
        </w:tc>
        <w:tc>
          <w:tcPr>
            <w:tcW w:w="220" w:type="dxa"/>
            <w:vAlign w:val="bottom"/>
            <w:tcBorders>
              <w:right w:val="single" w:sz="8" w:color="0000FF"/>
            </w:tcBorders>
            <w:gridSpan w:val="2"/>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460" w:type="dxa"/>
            <w:vAlign w:val="bottom"/>
            <w:gridSpan w:val="2"/>
          </w:tcPr>
          <w:p>
            <w:pPr>
              <w:spacing w:after="0"/>
              <w:rPr>
                <w:sz w:val="20"/>
                <w:szCs w:val="20"/>
                <w:color w:val="auto"/>
              </w:rPr>
            </w:pPr>
            <w:r>
              <w:rPr>
                <w:rFonts w:ascii="Times New Roman" w:cs="Times New Roman" w:eastAsia="Times New Roman" w:hAnsi="Times New Roman"/>
                <w:sz w:val="18"/>
                <w:szCs w:val="18"/>
                <w:color w:val="0000FF"/>
                <w:w w:val="82"/>
              </w:rPr>
              <w:t>Item 4.</w:t>
            </w:r>
          </w:p>
        </w:tc>
        <w:tc>
          <w:tcPr>
            <w:tcW w:w="80" w:type="dxa"/>
            <w:vAlign w:val="bottom"/>
          </w:tcPr>
          <w:p>
            <w:pPr>
              <w:spacing w:after="0"/>
              <w:rPr>
                <w:sz w:val="19"/>
                <w:szCs w:val="19"/>
                <w:color w:val="auto"/>
              </w:rPr>
            </w:pPr>
          </w:p>
        </w:tc>
        <w:tc>
          <w:tcPr>
            <w:tcW w:w="860" w:type="dxa"/>
            <w:vAlign w:val="bottom"/>
            <w:gridSpan w:val="4"/>
          </w:tcPr>
          <w:p>
            <w:pPr>
              <w:spacing w:after="0"/>
              <w:rPr>
                <w:sz w:val="19"/>
                <w:szCs w:val="19"/>
                <w:color w:val="auto"/>
              </w:rPr>
            </w:pPr>
          </w:p>
        </w:tc>
        <w:tc>
          <w:tcPr>
            <w:tcW w:w="1780" w:type="dxa"/>
            <w:vAlign w:val="bottom"/>
            <w:gridSpan w:val="7"/>
          </w:tcPr>
          <w:p>
            <w:pPr>
              <w:ind w:left="20"/>
              <w:spacing w:after="0"/>
              <w:rPr>
                <w:sz w:val="20"/>
                <w:szCs w:val="20"/>
                <w:color w:val="auto"/>
              </w:rPr>
            </w:pPr>
            <w:r>
              <w:rPr>
                <w:rFonts w:ascii="Times New Roman" w:cs="Times New Roman" w:eastAsia="Times New Roman" w:hAnsi="Times New Roman"/>
                <w:sz w:val="18"/>
                <w:szCs w:val="18"/>
                <w:color w:val="0000FF"/>
                <w:w w:val="98"/>
              </w:rPr>
              <w:t>Controls and Procedures</w:t>
            </w:r>
          </w:p>
        </w:tc>
        <w:tc>
          <w:tcPr>
            <w:tcW w:w="2580" w:type="dxa"/>
            <w:vAlign w:val="bottom"/>
            <w:gridSpan w:val="4"/>
          </w:tcPr>
          <w:p>
            <w:pPr>
              <w:spacing w:after="0"/>
              <w:rPr>
                <w:sz w:val="19"/>
                <w:szCs w:val="19"/>
                <w:color w:val="auto"/>
              </w:rPr>
            </w:pPr>
          </w:p>
        </w:tc>
        <w:tc>
          <w:tcPr>
            <w:tcW w:w="4860" w:type="dxa"/>
            <w:vAlign w:val="bottom"/>
            <w:gridSpan w:val="7"/>
          </w:tcPr>
          <w:p>
            <w:pPr>
              <w:spacing w:after="0"/>
              <w:rPr>
                <w:sz w:val="19"/>
                <w:szCs w:val="19"/>
                <w:color w:val="auto"/>
              </w:rPr>
            </w:pPr>
          </w:p>
        </w:tc>
        <w:tc>
          <w:tcPr>
            <w:tcW w:w="460" w:type="dxa"/>
            <w:vAlign w:val="bottom"/>
            <w:gridSpan w:val="4"/>
          </w:tcPr>
          <w:p>
            <w:pPr>
              <w:jc w:val="center"/>
              <w:spacing w:after="0"/>
              <w:rPr>
                <w:sz w:val="20"/>
                <w:szCs w:val="20"/>
                <w:color w:val="auto"/>
              </w:rPr>
            </w:pPr>
            <w:r>
              <w:rPr>
                <w:rFonts w:ascii="Times New Roman" w:cs="Times New Roman" w:eastAsia="Times New Roman" w:hAnsi="Times New Roman"/>
                <w:sz w:val="18"/>
                <w:szCs w:val="18"/>
                <w:color w:val="0000FF"/>
                <w:w w:val="99"/>
              </w:rPr>
              <w:t>78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0" w:type="dxa"/>
            <w:vAlign w:val="bottom"/>
            <w:gridSpan w:val="2"/>
            <w:shd w:val="clear" w:color="auto" w:fill="0000FF"/>
          </w:tcPr>
          <w:p>
            <w:pPr>
              <w:spacing w:after="0" w:line="20" w:lineRule="exact"/>
              <w:rPr>
                <w:sz w:val="1"/>
                <w:szCs w:val="1"/>
                <w:color w:val="auto"/>
              </w:rPr>
            </w:pPr>
          </w:p>
        </w:tc>
        <w:tc>
          <w:tcPr>
            <w:tcW w:w="180" w:type="dxa"/>
            <w:vAlign w:val="bottom"/>
            <w:tcBorders>
              <w:left w:val="single" w:sz="8" w:color="0000FF"/>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5620" w:type="dxa"/>
            <w:vAlign w:val="bottom"/>
            <w:gridSpan w:val="9"/>
          </w:tcPr>
          <w:p>
            <w:pPr>
              <w:spacing w:after="0" w:line="20" w:lineRule="exact"/>
              <w:rPr>
                <w:sz w:val="1"/>
                <w:szCs w:val="1"/>
                <w:color w:val="auto"/>
              </w:rPr>
            </w:pPr>
          </w:p>
        </w:tc>
        <w:tc>
          <w:tcPr>
            <w:tcW w:w="220" w:type="dxa"/>
            <w:vAlign w:val="bottom"/>
            <w:tcBorders>
              <w:right w:val="single" w:sz="8" w:color="0000FF"/>
            </w:tcBorders>
            <w:gridSpan w:val="2"/>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460" w:type="dxa"/>
            <w:vAlign w:val="bottom"/>
            <w:gridSpan w:val="2"/>
          </w:tcPr>
          <w:p>
            <w:pPr>
              <w:spacing w:after="0"/>
              <w:rPr>
                <w:sz w:val="20"/>
                <w:szCs w:val="20"/>
                <w:color w:val="auto"/>
              </w:rPr>
            </w:pPr>
            <w:r>
              <w:rPr>
                <w:rFonts w:ascii="Times New Roman" w:cs="Times New Roman" w:eastAsia="Times New Roman" w:hAnsi="Times New Roman"/>
                <w:sz w:val="18"/>
                <w:szCs w:val="18"/>
                <w:color w:val="0000FF"/>
                <w:w w:val="83"/>
              </w:rPr>
              <w:t>Part II</w:t>
            </w:r>
            <w:r>
              <w:rPr>
                <w:rFonts w:ascii="Times New Roman" w:cs="Times New Roman" w:eastAsia="Times New Roman" w:hAnsi="Times New Roman"/>
                <w:sz w:val="18"/>
                <w:szCs w:val="18"/>
                <w:color w:val="000000"/>
                <w:w w:val="83"/>
              </w:rPr>
              <w:t>.</w:t>
            </w:r>
          </w:p>
        </w:tc>
        <w:tc>
          <w:tcPr>
            <w:tcW w:w="940" w:type="dxa"/>
            <w:vAlign w:val="bottom"/>
            <w:gridSpan w:val="5"/>
          </w:tcPr>
          <w:p>
            <w:pPr>
              <w:spacing w:after="0"/>
              <w:rPr>
                <w:sz w:val="19"/>
                <w:szCs w:val="19"/>
                <w:color w:val="auto"/>
              </w:rPr>
            </w:pPr>
          </w:p>
        </w:tc>
        <w:tc>
          <w:tcPr>
            <w:tcW w:w="1780" w:type="dxa"/>
            <w:vAlign w:val="bottom"/>
            <w:gridSpan w:val="7"/>
          </w:tcPr>
          <w:p>
            <w:pPr>
              <w:ind w:left="20"/>
              <w:spacing w:after="0"/>
              <w:rPr>
                <w:sz w:val="20"/>
                <w:szCs w:val="20"/>
                <w:color w:val="auto"/>
              </w:rPr>
            </w:pPr>
            <w:r>
              <w:rPr>
                <w:rFonts w:ascii="Times New Roman" w:cs="Times New Roman" w:eastAsia="Times New Roman" w:hAnsi="Times New Roman"/>
                <w:sz w:val="18"/>
                <w:szCs w:val="18"/>
                <w:color w:val="0000FF"/>
              </w:rPr>
              <w:t>Other Information</w:t>
            </w:r>
          </w:p>
        </w:tc>
        <w:tc>
          <w:tcPr>
            <w:tcW w:w="7440" w:type="dxa"/>
            <w:vAlign w:val="bottom"/>
            <w:gridSpan w:val="11"/>
          </w:tcPr>
          <w:p>
            <w:pPr>
              <w:spacing w:after="0"/>
              <w:rPr>
                <w:sz w:val="19"/>
                <w:szCs w:val="19"/>
                <w:color w:val="auto"/>
              </w:rPr>
            </w:pPr>
          </w:p>
        </w:tc>
        <w:tc>
          <w:tcPr>
            <w:tcW w:w="460" w:type="dxa"/>
            <w:vAlign w:val="bottom"/>
            <w:gridSpan w:val="4"/>
          </w:tcPr>
          <w:p>
            <w:pPr>
              <w:jc w:val="center"/>
              <w:spacing w:after="0"/>
              <w:rPr>
                <w:sz w:val="20"/>
                <w:szCs w:val="20"/>
                <w:color w:val="auto"/>
              </w:rPr>
            </w:pPr>
            <w:r>
              <w:rPr>
                <w:rFonts w:ascii="Times New Roman" w:cs="Times New Roman" w:eastAsia="Times New Roman" w:hAnsi="Times New Roman"/>
                <w:sz w:val="18"/>
                <w:szCs w:val="18"/>
                <w:color w:val="0000FF"/>
                <w:w w:val="99"/>
              </w:rPr>
              <w:t>80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0" w:type="dxa"/>
            <w:vAlign w:val="bottom"/>
            <w:gridSpan w:val="2"/>
            <w:shd w:val="clear" w:color="auto" w:fill="0000FF"/>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0" w:type="dxa"/>
            <w:vAlign w:val="bottom"/>
            <w:gridSpan w:val="3"/>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5620" w:type="dxa"/>
            <w:vAlign w:val="bottom"/>
            <w:gridSpan w:val="9"/>
          </w:tcPr>
          <w:p>
            <w:pPr>
              <w:spacing w:after="0" w:line="20" w:lineRule="exact"/>
              <w:rPr>
                <w:sz w:val="1"/>
                <w:szCs w:val="1"/>
                <w:color w:val="auto"/>
              </w:rPr>
            </w:pPr>
          </w:p>
        </w:tc>
        <w:tc>
          <w:tcPr>
            <w:tcW w:w="220" w:type="dxa"/>
            <w:vAlign w:val="bottom"/>
            <w:tcBorders>
              <w:right w:val="single" w:sz="8" w:color="0000FF"/>
            </w:tcBorders>
            <w:gridSpan w:val="2"/>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640" w:type="dxa"/>
            <w:vAlign w:val="bottom"/>
            <w:gridSpan w:val="4"/>
          </w:tcPr>
          <w:p>
            <w:pPr>
              <w:spacing w:after="0"/>
              <w:rPr>
                <w:sz w:val="20"/>
                <w:szCs w:val="20"/>
                <w:color w:val="auto"/>
              </w:rPr>
            </w:pPr>
            <w:r>
              <w:rPr>
                <w:rFonts w:ascii="Times New Roman" w:cs="Times New Roman" w:eastAsia="Times New Roman" w:hAnsi="Times New Roman"/>
                <w:sz w:val="18"/>
                <w:szCs w:val="18"/>
                <w:color w:val="0000FF"/>
              </w:rPr>
              <w:t>Item 1.</w:t>
            </w:r>
          </w:p>
        </w:tc>
        <w:tc>
          <w:tcPr>
            <w:tcW w:w="760" w:type="dxa"/>
            <w:vAlign w:val="bottom"/>
            <w:gridSpan w:val="3"/>
          </w:tcPr>
          <w:p>
            <w:pPr>
              <w:spacing w:after="0"/>
              <w:rPr>
                <w:sz w:val="19"/>
                <w:szCs w:val="19"/>
                <w:color w:val="auto"/>
              </w:rPr>
            </w:pPr>
          </w:p>
        </w:tc>
        <w:tc>
          <w:tcPr>
            <w:tcW w:w="9220" w:type="dxa"/>
            <w:vAlign w:val="bottom"/>
            <w:gridSpan w:val="18"/>
          </w:tcPr>
          <w:p>
            <w:pPr>
              <w:ind w:left="20"/>
              <w:spacing w:after="0"/>
              <w:rPr>
                <w:sz w:val="20"/>
                <w:szCs w:val="20"/>
                <w:color w:val="auto"/>
              </w:rPr>
            </w:pPr>
            <w:r>
              <w:rPr>
                <w:rFonts w:ascii="Times New Roman" w:cs="Times New Roman" w:eastAsia="Times New Roman" w:hAnsi="Times New Roman"/>
                <w:sz w:val="18"/>
                <w:szCs w:val="18"/>
                <w:color w:val="0000FF"/>
              </w:rPr>
              <w:t>Legal Proceedings</w:t>
            </w:r>
          </w:p>
        </w:tc>
        <w:tc>
          <w:tcPr>
            <w:tcW w:w="460" w:type="dxa"/>
            <w:vAlign w:val="bottom"/>
            <w:gridSpan w:val="4"/>
          </w:tcPr>
          <w:p>
            <w:pPr>
              <w:jc w:val="center"/>
              <w:spacing w:after="0"/>
              <w:rPr>
                <w:sz w:val="20"/>
                <w:szCs w:val="20"/>
                <w:color w:val="auto"/>
              </w:rPr>
            </w:pPr>
            <w:r>
              <w:rPr>
                <w:rFonts w:ascii="Times New Roman" w:cs="Times New Roman" w:eastAsia="Times New Roman" w:hAnsi="Times New Roman"/>
                <w:sz w:val="18"/>
                <w:szCs w:val="18"/>
                <w:color w:val="0000FF"/>
                <w:w w:val="99"/>
              </w:rPr>
              <w:t>80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0" w:type="dxa"/>
            <w:vAlign w:val="bottom"/>
            <w:gridSpan w:val="4"/>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1000" w:type="dxa"/>
            <w:vAlign w:val="bottom"/>
            <w:gridSpan w:val="3"/>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5620" w:type="dxa"/>
            <w:vAlign w:val="bottom"/>
            <w:gridSpan w:val="9"/>
          </w:tcPr>
          <w:p>
            <w:pPr>
              <w:spacing w:after="0" w:line="20" w:lineRule="exact"/>
              <w:rPr>
                <w:sz w:val="1"/>
                <w:szCs w:val="1"/>
                <w:color w:val="auto"/>
              </w:rPr>
            </w:pPr>
          </w:p>
        </w:tc>
        <w:tc>
          <w:tcPr>
            <w:tcW w:w="46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1400" w:type="dxa"/>
            <w:vAlign w:val="bottom"/>
            <w:gridSpan w:val="7"/>
          </w:tcPr>
          <w:p>
            <w:pPr>
              <w:spacing w:after="0"/>
              <w:rPr>
                <w:sz w:val="20"/>
                <w:szCs w:val="20"/>
                <w:color w:val="auto"/>
              </w:rPr>
            </w:pPr>
            <w:r>
              <w:rPr>
                <w:rFonts w:ascii="Times New Roman" w:cs="Times New Roman" w:eastAsia="Times New Roman" w:hAnsi="Times New Roman"/>
                <w:sz w:val="18"/>
                <w:szCs w:val="18"/>
                <w:color w:val="0000FF"/>
              </w:rPr>
              <w:t>Item 1A.</w:t>
            </w:r>
          </w:p>
        </w:tc>
        <w:tc>
          <w:tcPr>
            <w:tcW w:w="9220" w:type="dxa"/>
            <w:vAlign w:val="bottom"/>
            <w:gridSpan w:val="18"/>
          </w:tcPr>
          <w:p>
            <w:pPr>
              <w:ind w:left="20"/>
              <w:spacing w:after="0"/>
              <w:rPr>
                <w:sz w:val="20"/>
                <w:szCs w:val="20"/>
                <w:color w:val="auto"/>
              </w:rPr>
            </w:pPr>
            <w:r>
              <w:rPr>
                <w:rFonts w:ascii="Times New Roman" w:cs="Times New Roman" w:eastAsia="Times New Roman" w:hAnsi="Times New Roman"/>
                <w:sz w:val="18"/>
                <w:szCs w:val="18"/>
                <w:color w:val="0000FF"/>
              </w:rPr>
              <w:t>Risk Factors</w:t>
            </w:r>
          </w:p>
        </w:tc>
        <w:tc>
          <w:tcPr>
            <w:tcW w:w="460" w:type="dxa"/>
            <w:vAlign w:val="bottom"/>
            <w:gridSpan w:val="4"/>
          </w:tcPr>
          <w:p>
            <w:pPr>
              <w:jc w:val="center"/>
              <w:spacing w:after="0"/>
              <w:rPr>
                <w:sz w:val="20"/>
                <w:szCs w:val="20"/>
                <w:color w:val="auto"/>
              </w:rPr>
            </w:pPr>
            <w:r>
              <w:rPr>
                <w:rFonts w:ascii="Times New Roman" w:cs="Times New Roman" w:eastAsia="Times New Roman" w:hAnsi="Times New Roman"/>
                <w:sz w:val="18"/>
                <w:szCs w:val="18"/>
                <w:color w:val="0000FF"/>
                <w:w w:val="99"/>
              </w:rPr>
              <w:t>80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0" w:type="dxa"/>
            <w:vAlign w:val="bottom"/>
            <w:gridSpan w:val="4"/>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420" w:type="dxa"/>
            <w:vAlign w:val="bottom"/>
            <w:gridSpan w:val="5"/>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5620" w:type="dxa"/>
            <w:vAlign w:val="bottom"/>
            <w:gridSpan w:val="9"/>
          </w:tcPr>
          <w:p>
            <w:pPr>
              <w:spacing w:after="0" w:line="20" w:lineRule="exact"/>
              <w:rPr>
                <w:sz w:val="1"/>
                <w:szCs w:val="1"/>
                <w:color w:val="auto"/>
              </w:rPr>
            </w:pPr>
          </w:p>
        </w:tc>
        <w:tc>
          <w:tcPr>
            <w:tcW w:w="220" w:type="dxa"/>
            <w:vAlign w:val="bottom"/>
            <w:tcBorders>
              <w:right w:val="single" w:sz="8" w:color="0000FF"/>
            </w:tcBorders>
            <w:gridSpan w:val="2"/>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540" w:type="dxa"/>
            <w:vAlign w:val="bottom"/>
            <w:gridSpan w:val="3"/>
          </w:tcPr>
          <w:p>
            <w:pPr>
              <w:spacing w:after="0"/>
              <w:rPr>
                <w:sz w:val="20"/>
                <w:szCs w:val="20"/>
                <w:color w:val="auto"/>
              </w:rPr>
            </w:pPr>
            <w:r>
              <w:rPr>
                <w:rFonts w:ascii="Times New Roman" w:cs="Times New Roman" w:eastAsia="Times New Roman" w:hAnsi="Times New Roman"/>
                <w:sz w:val="18"/>
                <w:szCs w:val="18"/>
                <w:color w:val="0000FF"/>
              </w:rPr>
              <w:t>Item 2.</w:t>
            </w:r>
          </w:p>
        </w:tc>
        <w:tc>
          <w:tcPr>
            <w:tcW w:w="100" w:type="dxa"/>
            <w:vAlign w:val="bottom"/>
          </w:tcPr>
          <w:p>
            <w:pPr>
              <w:spacing w:after="0"/>
              <w:rPr>
                <w:sz w:val="19"/>
                <w:szCs w:val="19"/>
                <w:color w:val="auto"/>
              </w:rPr>
            </w:pPr>
          </w:p>
        </w:tc>
        <w:tc>
          <w:tcPr>
            <w:tcW w:w="760" w:type="dxa"/>
            <w:vAlign w:val="bottom"/>
            <w:gridSpan w:val="3"/>
          </w:tcPr>
          <w:p>
            <w:pPr>
              <w:spacing w:after="0"/>
              <w:rPr>
                <w:sz w:val="19"/>
                <w:szCs w:val="19"/>
                <w:color w:val="auto"/>
              </w:rPr>
            </w:pPr>
          </w:p>
        </w:tc>
        <w:tc>
          <w:tcPr>
            <w:tcW w:w="9220" w:type="dxa"/>
            <w:vAlign w:val="bottom"/>
            <w:gridSpan w:val="18"/>
          </w:tcPr>
          <w:p>
            <w:pPr>
              <w:ind w:left="20"/>
              <w:spacing w:after="0"/>
              <w:rPr>
                <w:sz w:val="20"/>
                <w:szCs w:val="20"/>
                <w:color w:val="auto"/>
              </w:rPr>
            </w:pPr>
            <w:r>
              <w:rPr>
                <w:rFonts w:ascii="Times New Roman" w:cs="Times New Roman" w:eastAsia="Times New Roman" w:hAnsi="Times New Roman"/>
                <w:sz w:val="18"/>
                <w:szCs w:val="18"/>
                <w:color w:val="0000FF"/>
              </w:rPr>
              <w:t>Unregistered Sales of Equity and Use of Proceeds</w:t>
            </w:r>
          </w:p>
        </w:tc>
        <w:tc>
          <w:tcPr>
            <w:tcW w:w="460" w:type="dxa"/>
            <w:vAlign w:val="bottom"/>
            <w:gridSpan w:val="4"/>
          </w:tcPr>
          <w:p>
            <w:pPr>
              <w:jc w:val="center"/>
              <w:spacing w:after="0"/>
              <w:rPr>
                <w:sz w:val="20"/>
                <w:szCs w:val="20"/>
                <w:color w:val="auto"/>
              </w:rPr>
            </w:pPr>
            <w:r>
              <w:rPr>
                <w:rFonts w:ascii="Times New Roman" w:cs="Times New Roman" w:eastAsia="Times New Roman" w:hAnsi="Times New Roman"/>
                <w:sz w:val="18"/>
                <w:szCs w:val="18"/>
                <w:color w:val="0000FF"/>
                <w:w w:val="99"/>
              </w:rPr>
              <w:t>80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0" w:type="dxa"/>
            <w:vAlign w:val="bottom"/>
            <w:gridSpan w:val="3"/>
            <w:shd w:val="clear" w:color="auto" w:fill="0000FF"/>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1740" w:type="dxa"/>
            <w:vAlign w:val="bottom"/>
            <w:gridSpan w:val="6"/>
            <w:shd w:val="clear" w:color="auto" w:fill="0000FF"/>
          </w:tcPr>
          <w:p>
            <w:pPr>
              <w:spacing w:after="0" w:line="20" w:lineRule="exact"/>
              <w:rPr>
                <w:sz w:val="1"/>
                <w:szCs w:val="1"/>
                <w:color w:val="auto"/>
              </w:rPr>
            </w:pPr>
          </w:p>
        </w:tc>
        <w:tc>
          <w:tcPr>
            <w:tcW w:w="1260" w:type="dxa"/>
            <w:vAlign w:val="bottom"/>
            <w:shd w:val="clear" w:color="auto" w:fill="0000FF"/>
          </w:tcPr>
          <w:p>
            <w:pPr>
              <w:spacing w:after="0" w:line="20" w:lineRule="exact"/>
              <w:rPr>
                <w:sz w:val="1"/>
                <w:szCs w:val="1"/>
                <w:color w:val="auto"/>
              </w:rPr>
            </w:pPr>
          </w:p>
        </w:tc>
        <w:tc>
          <w:tcPr>
            <w:tcW w:w="5620" w:type="dxa"/>
            <w:vAlign w:val="bottom"/>
            <w:gridSpan w:val="9"/>
          </w:tcPr>
          <w:p>
            <w:pPr>
              <w:spacing w:after="0" w:line="20" w:lineRule="exact"/>
              <w:rPr>
                <w:sz w:val="1"/>
                <w:szCs w:val="1"/>
                <w:color w:val="auto"/>
              </w:rPr>
            </w:pPr>
          </w:p>
        </w:tc>
        <w:tc>
          <w:tcPr>
            <w:tcW w:w="220" w:type="dxa"/>
            <w:vAlign w:val="bottom"/>
            <w:tcBorders>
              <w:right w:val="single" w:sz="8" w:color="0000FF"/>
            </w:tcBorders>
            <w:gridSpan w:val="2"/>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540" w:type="dxa"/>
            <w:vAlign w:val="bottom"/>
            <w:gridSpan w:val="3"/>
          </w:tcPr>
          <w:p>
            <w:pPr>
              <w:spacing w:after="0"/>
              <w:rPr>
                <w:sz w:val="20"/>
                <w:szCs w:val="20"/>
                <w:color w:val="auto"/>
              </w:rPr>
            </w:pPr>
            <w:r>
              <w:rPr>
                <w:rFonts w:ascii="Times New Roman" w:cs="Times New Roman" w:eastAsia="Times New Roman" w:hAnsi="Times New Roman"/>
                <w:sz w:val="18"/>
                <w:szCs w:val="18"/>
                <w:color w:val="0000FF"/>
              </w:rPr>
              <w:t>Item 3.</w:t>
            </w:r>
          </w:p>
        </w:tc>
        <w:tc>
          <w:tcPr>
            <w:tcW w:w="860" w:type="dxa"/>
            <w:vAlign w:val="bottom"/>
            <w:gridSpan w:val="4"/>
          </w:tcPr>
          <w:p>
            <w:pPr>
              <w:spacing w:after="0"/>
              <w:rPr>
                <w:sz w:val="19"/>
                <w:szCs w:val="19"/>
                <w:color w:val="auto"/>
              </w:rPr>
            </w:pPr>
          </w:p>
        </w:tc>
        <w:tc>
          <w:tcPr>
            <w:tcW w:w="2340" w:type="dxa"/>
            <w:vAlign w:val="bottom"/>
            <w:gridSpan w:val="8"/>
          </w:tcPr>
          <w:p>
            <w:pPr>
              <w:ind w:left="20"/>
              <w:spacing w:after="0"/>
              <w:rPr>
                <w:sz w:val="20"/>
                <w:szCs w:val="20"/>
                <w:color w:val="auto"/>
              </w:rPr>
            </w:pPr>
            <w:r>
              <w:rPr>
                <w:rFonts w:ascii="Times New Roman" w:cs="Times New Roman" w:eastAsia="Times New Roman" w:hAnsi="Times New Roman"/>
                <w:sz w:val="18"/>
                <w:szCs w:val="18"/>
                <w:color w:val="0000FF"/>
                <w:w w:val="98"/>
              </w:rPr>
              <w:t>Defaults Upon Senior Securities</w:t>
            </w:r>
          </w:p>
        </w:tc>
        <w:tc>
          <w:tcPr>
            <w:tcW w:w="1260" w:type="dxa"/>
            <w:vAlign w:val="bottom"/>
          </w:tcPr>
          <w:p>
            <w:pPr>
              <w:spacing w:after="0"/>
              <w:rPr>
                <w:sz w:val="19"/>
                <w:szCs w:val="19"/>
                <w:color w:val="auto"/>
              </w:rPr>
            </w:pPr>
          </w:p>
        </w:tc>
        <w:tc>
          <w:tcPr>
            <w:tcW w:w="5620" w:type="dxa"/>
            <w:vAlign w:val="bottom"/>
            <w:gridSpan w:val="9"/>
          </w:tcPr>
          <w:p>
            <w:pPr>
              <w:spacing w:after="0"/>
              <w:rPr>
                <w:sz w:val="19"/>
                <w:szCs w:val="19"/>
                <w:color w:val="auto"/>
              </w:rPr>
            </w:pPr>
          </w:p>
        </w:tc>
        <w:tc>
          <w:tcPr>
            <w:tcW w:w="460" w:type="dxa"/>
            <w:vAlign w:val="bottom"/>
            <w:gridSpan w:val="4"/>
          </w:tcPr>
          <w:p>
            <w:pPr>
              <w:jc w:val="center"/>
              <w:spacing w:after="0"/>
              <w:rPr>
                <w:sz w:val="20"/>
                <w:szCs w:val="20"/>
                <w:color w:val="auto"/>
              </w:rPr>
            </w:pPr>
            <w:r>
              <w:rPr>
                <w:rFonts w:ascii="Times New Roman" w:cs="Times New Roman" w:eastAsia="Times New Roman" w:hAnsi="Times New Roman"/>
                <w:sz w:val="18"/>
                <w:szCs w:val="18"/>
                <w:color w:val="0000FF"/>
                <w:w w:val="99"/>
              </w:rPr>
              <w:t>80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0" w:type="dxa"/>
            <w:vAlign w:val="bottom"/>
            <w:gridSpan w:val="3"/>
            <w:shd w:val="clear" w:color="auto" w:fill="0000FF"/>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1740" w:type="dxa"/>
            <w:vAlign w:val="bottom"/>
            <w:gridSpan w:val="6"/>
            <w:shd w:val="clear" w:color="auto" w:fill="0000FF"/>
          </w:tcPr>
          <w:p>
            <w:pPr>
              <w:spacing w:after="0" w:line="20" w:lineRule="exact"/>
              <w:rPr>
                <w:sz w:val="1"/>
                <w:szCs w:val="1"/>
                <w:color w:val="auto"/>
              </w:rPr>
            </w:pPr>
          </w:p>
        </w:tc>
        <w:tc>
          <w:tcPr>
            <w:tcW w:w="6880" w:type="dxa"/>
            <w:vAlign w:val="bottom"/>
            <w:gridSpan w:val="10"/>
          </w:tcPr>
          <w:p>
            <w:pPr>
              <w:spacing w:after="0" w:line="20" w:lineRule="exact"/>
              <w:rPr>
                <w:sz w:val="1"/>
                <w:szCs w:val="1"/>
                <w:color w:val="auto"/>
              </w:rPr>
            </w:pPr>
          </w:p>
        </w:tc>
        <w:tc>
          <w:tcPr>
            <w:tcW w:w="220" w:type="dxa"/>
            <w:vAlign w:val="bottom"/>
            <w:tcBorders>
              <w:right w:val="single" w:sz="8" w:color="0000FF"/>
            </w:tcBorders>
            <w:gridSpan w:val="2"/>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540" w:type="dxa"/>
            <w:vAlign w:val="bottom"/>
            <w:gridSpan w:val="3"/>
          </w:tcPr>
          <w:p>
            <w:pPr>
              <w:spacing w:after="0"/>
              <w:rPr>
                <w:sz w:val="20"/>
                <w:szCs w:val="20"/>
                <w:color w:val="auto"/>
              </w:rPr>
            </w:pPr>
            <w:r>
              <w:rPr>
                <w:rFonts w:ascii="Times New Roman" w:cs="Times New Roman" w:eastAsia="Times New Roman" w:hAnsi="Times New Roman"/>
                <w:sz w:val="18"/>
                <w:szCs w:val="18"/>
                <w:color w:val="0000FF"/>
              </w:rPr>
              <w:t>Item 4.</w:t>
            </w:r>
          </w:p>
        </w:tc>
        <w:tc>
          <w:tcPr>
            <w:tcW w:w="860" w:type="dxa"/>
            <w:vAlign w:val="bottom"/>
            <w:gridSpan w:val="4"/>
          </w:tcPr>
          <w:p>
            <w:pPr>
              <w:spacing w:after="0"/>
              <w:rPr>
                <w:sz w:val="19"/>
                <w:szCs w:val="19"/>
                <w:color w:val="auto"/>
              </w:rPr>
            </w:pPr>
          </w:p>
        </w:tc>
        <w:tc>
          <w:tcPr>
            <w:tcW w:w="1780" w:type="dxa"/>
            <w:vAlign w:val="bottom"/>
            <w:gridSpan w:val="7"/>
          </w:tcPr>
          <w:p>
            <w:pPr>
              <w:ind w:left="20"/>
              <w:spacing w:after="0"/>
              <w:rPr>
                <w:sz w:val="20"/>
                <w:szCs w:val="20"/>
                <w:color w:val="auto"/>
              </w:rPr>
            </w:pPr>
            <w:r>
              <w:rPr>
                <w:rFonts w:ascii="Times New Roman" w:cs="Times New Roman" w:eastAsia="Times New Roman" w:hAnsi="Times New Roman"/>
                <w:sz w:val="18"/>
                <w:szCs w:val="18"/>
                <w:color w:val="0000FF"/>
                <w:w w:val="98"/>
              </w:rPr>
              <w:t>Mine Safety Disclosures</w:t>
            </w:r>
          </w:p>
        </w:tc>
        <w:tc>
          <w:tcPr>
            <w:tcW w:w="560" w:type="dxa"/>
            <w:vAlign w:val="bottom"/>
          </w:tcPr>
          <w:p>
            <w:pPr>
              <w:spacing w:after="0"/>
              <w:rPr>
                <w:sz w:val="19"/>
                <w:szCs w:val="19"/>
                <w:color w:val="auto"/>
              </w:rPr>
            </w:pPr>
          </w:p>
        </w:tc>
        <w:tc>
          <w:tcPr>
            <w:tcW w:w="6880" w:type="dxa"/>
            <w:vAlign w:val="bottom"/>
            <w:gridSpan w:val="10"/>
          </w:tcPr>
          <w:p>
            <w:pPr>
              <w:spacing w:after="0"/>
              <w:rPr>
                <w:sz w:val="19"/>
                <w:szCs w:val="19"/>
                <w:color w:val="auto"/>
              </w:rPr>
            </w:pPr>
          </w:p>
        </w:tc>
        <w:tc>
          <w:tcPr>
            <w:tcW w:w="460" w:type="dxa"/>
            <w:vAlign w:val="bottom"/>
            <w:gridSpan w:val="4"/>
          </w:tcPr>
          <w:p>
            <w:pPr>
              <w:jc w:val="center"/>
              <w:spacing w:after="0"/>
              <w:rPr>
                <w:sz w:val="20"/>
                <w:szCs w:val="20"/>
                <w:color w:val="auto"/>
              </w:rPr>
            </w:pPr>
            <w:r>
              <w:rPr>
                <w:rFonts w:ascii="Times New Roman" w:cs="Times New Roman" w:eastAsia="Times New Roman" w:hAnsi="Times New Roman"/>
                <w:sz w:val="18"/>
                <w:szCs w:val="18"/>
                <w:color w:val="0000FF"/>
                <w:w w:val="99"/>
              </w:rPr>
              <w:t>80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0" w:type="dxa"/>
            <w:vAlign w:val="bottom"/>
            <w:gridSpan w:val="3"/>
            <w:shd w:val="clear" w:color="auto" w:fill="0000FF"/>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1180" w:type="dxa"/>
            <w:vAlign w:val="bottom"/>
            <w:gridSpan w:val="5"/>
            <w:shd w:val="clear" w:color="auto" w:fill="0000FF"/>
          </w:tcPr>
          <w:p>
            <w:pPr>
              <w:spacing w:after="0" w:line="20" w:lineRule="exact"/>
              <w:rPr>
                <w:sz w:val="1"/>
                <w:szCs w:val="1"/>
                <w:color w:val="auto"/>
              </w:rPr>
            </w:pPr>
          </w:p>
        </w:tc>
        <w:tc>
          <w:tcPr>
            <w:tcW w:w="7440" w:type="dxa"/>
            <w:vAlign w:val="bottom"/>
            <w:gridSpan w:val="11"/>
          </w:tcPr>
          <w:p>
            <w:pPr>
              <w:spacing w:after="0" w:line="20" w:lineRule="exact"/>
              <w:rPr>
                <w:sz w:val="1"/>
                <w:szCs w:val="1"/>
                <w:color w:val="auto"/>
              </w:rPr>
            </w:pPr>
          </w:p>
        </w:tc>
        <w:tc>
          <w:tcPr>
            <w:tcW w:w="220" w:type="dxa"/>
            <w:vAlign w:val="bottom"/>
            <w:tcBorders>
              <w:right w:val="single" w:sz="8" w:color="0000FF"/>
            </w:tcBorders>
            <w:gridSpan w:val="2"/>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540" w:type="dxa"/>
            <w:vAlign w:val="bottom"/>
            <w:gridSpan w:val="3"/>
          </w:tcPr>
          <w:p>
            <w:pPr>
              <w:spacing w:after="0"/>
              <w:rPr>
                <w:sz w:val="20"/>
                <w:szCs w:val="20"/>
                <w:color w:val="auto"/>
              </w:rPr>
            </w:pPr>
            <w:r>
              <w:rPr>
                <w:rFonts w:ascii="Times New Roman" w:cs="Times New Roman" w:eastAsia="Times New Roman" w:hAnsi="Times New Roman"/>
                <w:sz w:val="18"/>
                <w:szCs w:val="18"/>
                <w:color w:val="0000FF"/>
              </w:rPr>
              <w:t>Item 5.</w:t>
            </w:r>
          </w:p>
        </w:tc>
        <w:tc>
          <w:tcPr>
            <w:tcW w:w="860" w:type="dxa"/>
            <w:vAlign w:val="bottom"/>
            <w:gridSpan w:val="4"/>
          </w:tcPr>
          <w:p>
            <w:pPr>
              <w:spacing w:after="0"/>
              <w:rPr>
                <w:sz w:val="19"/>
                <w:szCs w:val="19"/>
                <w:color w:val="auto"/>
              </w:rPr>
            </w:pPr>
          </w:p>
        </w:tc>
        <w:tc>
          <w:tcPr>
            <w:tcW w:w="1780" w:type="dxa"/>
            <w:vAlign w:val="bottom"/>
            <w:gridSpan w:val="7"/>
          </w:tcPr>
          <w:p>
            <w:pPr>
              <w:ind w:left="20"/>
              <w:spacing w:after="0"/>
              <w:rPr>
                <w:sz w:val="20"/>
                <w:szCs w:val="20"/>
                <w:color w:val="auto"/>
              </w:rPr>
            </w:pPr>
            <w:r>
              <w:rPr>
                <w:rFonts w:ascii="Times New Roman" w:cs="Times New Roman" w:eastAsia="Times New Roman" w:hAnsi="Times New Roman"/>
                <w:sz w:val="18"/>
                <w:szCs w:val="18"/>
                <w:color w:val="0000FF"/>
              </w:rPr>
              <w:t>Other Information</w:t>
            </w:r>
          </w:p>
        </w:tc>
        <w:tc>
          <w:tcPr>
            <w:tcW w:w="7440" w:type="dxa"/>
            <w:vAlign w:val="bottom"/>
            <w:gridSpan w:val="11"/>
          </w:tcPr>
          <w:p>
            <w:pPr>
              <w:spacing w:after="0"/>
              <w:rPr>
                <w:sz w:val="19"/>
                <w:szCs w:val="19"/>
                <w:color w:val="auto"/>
              </w:rPr>
            </w:pPr>
          </w:p>
        </w:tc>
        <w:tc>
          <w:tcPr>
            <w:tcW w:w="460" w:type="dxa"/>
            <w:vAlign w:val="bottom"/>
            <w:gridSpan w:val="4"/>
          </w:tcPr>
          <w:p>
            <w:pPr>
              <w:jc w:val="center"/>
              <w:spacing w:after="0"/>
              <w:rPr>
                <w:sz w:val="20"/>
                <w:szCs w:val="20"/>
                <w:color w:val="auto"/>
              </w:rPr>
            </w:pPr>
            <w:r>
              <w:rPr>
                <w:rFonts w:ascii="Times New Roman" w:cs="Times New Roman" w:eastAsia="Times New Roman" w:hAnsi="Times New Roman"/>
                <w:sz w:val="18"/>
                <w:szCs w:val="18"/>
                <w:color w:val="0000FF"/>
                <w:w w:val="99"/>
              </w:rPr>
              <w:t>80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0" w:type="dxa"/>
            <w:vAlign w:val="bottom"/>
            <w:gridSpan w:val="3"/>
            <w:shd w:val="clear" w:color="auto" w:fill="0000FF"/>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7900" w:type="dxa"/>
            <w:vAlign w:val="bottom"/>
            <w:gridSpan w:val="14"/>
          </w:tcPr>
          <w:p>
            <w:pPr>
              <w:spacing w:after="0" w:line="20" w:lineRule="exact"/>
              <w:rPr>
                <w:sz w:val="1"/>
                <w:szCs w:val="1"/>
                <w:color w:val="auto"/>
              </w:rPr>
            </w:pPr>
          </w:p>
        </w:tc>
        <w:tc>
          <w:tcPr>
            <w:tcW w:w="220" w:type="dxa"/>
            <w:vAlign w:val="bottom"/>
            <w:tcBorders>
              <w:right w:val="single" w:sz="8" w:color="0000FF"/>
            </w:tcBorders>
            <w:gridSpan w:val="2"/>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540" w:type="dxa"/>
            <w:vAlign w:val="bottom"/>
            <w:gridSpan w:val="3"/>
          </w:tcPr>
          <w:p>
            <w:pPr>
              <w:spacing w:after="0"/>
              <w:rPr>
                <w:sz w:val="20"/>
                <w:szCs w:val="20"/>
                <w:color w:val="auto"/>
              </w:rPr>
            </w:pPr>
            <w:r>
              <w:rPr>
                <w:rFonts w:ascii="Times New Roman" w:cs="Times New Roman" w:eastAsia="Times New Roman" w:hAnsi="Times New Roman"/>
                <w:sz w:val="18"/>
                <w:szCs w:val="18"/>
                <w:color w:val="0000FF"/>
              </w:rPr>
              <w:t>Item 6.</w:t>
            </w:r>
          </w:p>
        </w:tc>
        <w:tc>
          <w:tcPr>
            <w:tcW w:w="860" w:type="dxa"/>
            <w:vAlign w:val="bottom"/>
            <w:gridSpan w:val="4"/>
          </w:tcPr>
          <w:p>
            <w:pPr>
              <w:spacing w:after="0"/>
              <w:rPr>
                <w:sz w:val="19"/>
                <w:szCs w:val="19"/>
                <w:color w:val="auto"/>
              </w:rPr>
            </w:pPr>
          </w:p>
        </w:tc>
        <w:tc>
          <w:tcPr>
            <w:tcW w:w="132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0000FF"/>
              </w:rPr>
              <w:t>Exhibits</w:t>
            </w:r>
          </w:p>
        </w:tc>
        <w:tc>
          <w:tcPr>
            <w:tcW w:w="7900" w:type="dxa"/>
            <w:vAlign w:val="bottom"/>
            <w:gridSpan w:val="14"/>
          </w:tcPr>
          <w:p>
            <w:pPr>
              <w:spacing w:after="0"/>
              <w:rPr>
                <w:sz w:val="19"/>
                <w:szCs w:val="19"/>
                <w:color w:val="auto"/>
              </w:rPr>
            </w:pPr>
          </w:p>
        </w:tc>
        <w:tc>
          <w:tcPr>
            <w:tcW w:w="460" w:type="dxa"/>
            <w:vAlign w:val="bottom"/>
            <w:gridSpan w:val="4"/>
          </w:tcPr>
          <w:p>
            <w:pPr>
              <w:jc w:val="center"/>
              <w:spacing w:after="0"/>
              <w:rPr>
                <w:sz w:val="20"/>
                <w:szCs w:val="20"/>
                <w:color w:val="auto"/>
              </w:rPr>
            </w:pPr>
            <w:r>
              <w:rPr>
                <w:rFonts w:ascii="Times New Roman" w:cs="Times New Roman" w:eastAsia="Times New Roman" w:hAnsi="Times New Roman"/>
                <w:sz w:val="18"/>
                <w:szCs w:val="18"/>
                <w:color w:val="0000FF"/>
                <w:w w:val="99"/>
              </w:rPr>
              <w:t>81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0" w:type="dxa"/>
            <w:vAlign w:val="bottom"/>
            <w:gridSpan w:val="3"/>
            <w:shd w:val="clear" w:color="auto" w:fill="0000FF"/>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1400" w:type="dxa"/>
            <w:vAlign w:val="bottom"/>
            <w:gridSpan w:val="7"/>
          </w:tcPr>
          <w:p>
            <w:pPr>
              <w:spacing w:after="0"/>
              <w:rPr>
                <w:sz w:val="20"/>
                <w:szCs w:val="20"/>
                <w:color w:val="auto"/>
              </w:rPr>
            </w:pPr>
            <w:r>
              <w:rPr>
                <w:rFonts w:ascii="Times New Roman" w:cs="Times New Roman" w:eastAsia="Times New Roman" w:hAnsi="Times New Roman"/>
                <w:sz w:val="18"/>
                <w:szCs w:val="18"/>
                <w:color w:val="0000FF"/>
              </w:rPr>
              <w:t>Signatures</w:t>
            </w:r>
          </w:p>
        </w:tc>
        <w:tc>
          <w:tcPr>
            <w:tcW w:w="3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3013075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20" w:top="108" w:right="47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Special Note Regarding Forward-Looking Statements</w:t>
      </w:r>
    </w:p>
    <w:p>
      <w:pPr>
        <w:spacing w:after="0" w:line="14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This Quarterly Report on Form 10-Q may contain forward-looking statements within the meaning of the federal securities laws. Forward-looking statements relate to expectations, beliefs, projections, future plans and strategies, anticipated events or trends and similar expressions concerning matters that are not historical facts. In some cases, you can identify forward-looking statements by the use of forward-looking terminology such as “may,” “will,” “should,” “expects,” “intends,” “plans,” “anticipates,” “believes,” “estimates,” “predicts,” or “potential” or the negative of these words and phrases or similar words or phrases which are predictions of or indicate future events or trends and which do not relate solely to historical matters. Forward-looking statements involve known and unknown risks, uncertainties, assumptions and contingencies, many of which are beyond our control, and may cause actual results to differ significantly from those expressed in any forward-looking statement.</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Among others, the following uncertainties and other factors could cause actual results to differ from those set forth in the forward-looking statements:</w:t>
      </w:r>
    </w:p>
    <w:p>
      <w:pPr>
        <w:spacing w:after="0" w:line="158" w:lineRule="exact"/>
        <w:rPr>
          <w:sz w:val="20"/>
          <w:szCs w:val="20"/>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operating costs and business disruption may be greater than expected;</w:t>
      </w:r>
    </w:p>
    <w:p>
      <w:pPr>
        <w:spacing w:after="0" w:line="27" w:lineRule="exact"/>
        <w:rPr>
          <w:rFonts w:ascii="Times New Roman" w:cs="Times New Roman" w:eastAsia="Times New Roman" w:hAnsi="Times New Roman"/>
          <w:sz w:val="18"/>
          <w:szCs w:val="18"/>
          <w:color w:val="auto"/>
        </w:rPr>
      </w:pPr>
    </w:p>
    <w:p>
      <w:pPr>
        <w:ind w:left="660" w:hanging="328"/>
        <w:spacing w:after="0" w:line="250"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depend on borrowers and tenants for a substantial portion of our revenue and, accordingly, our revenue and our ability to make distributions to stockholders will be dependent upon the success and economic viability of such borrowers and tenants;</w:t>
      </w:r>
    </w:p>
    <w:p>
      <w:pPr>
        <w:jc w:val="both"/>
        <w:ind w:left="660" w:hanging="328"/>
        <w:spacing w:after="0"/>
        <w:tabs>
          <w:tab w:leader="none" w:pos="649" w:val="left"/>
        </w:tabs>
        <w:numPr>
          <w:ilvl w:val="0"/>
          <w:numId w:val="3"/>
        </w:numPr>
        <w:rPr>
          <w:rFonts w:ascii="Arial" w:cs="Arial" w:eastAsia="Arial" w:hAnsi="Arial"/>
          <w:sz w:val="16"/>
          <w:szCs w:val="16"/>
          <w:color w:val="auto"/>
        </w:rPr>
      </w:pPr>
      <w:r>
        <w:rPr>
          <w:rFonts w:ascii="Times New Roman" w:cs="Times New Roman" w:eastAsia="Times New Roman" w:hAnsi="Times New Roman"/>
          <w:sz w:val="18"/>
          <w:szCs w:val="18"/>
          <w:color w:val="auto"/>
        </w:rPr>
        <w:t>higher interest rates may adversely impact the value of our variable-rate investments, resulting in higher interest expense, materially impacting our borrowers’ ability to refinance existing loans, and creating disruptions to our borrowers’ and tenants’ ability to finance their activities, on whom we depend for a substantial portion of our revenue;</w:t>
      </w:r>
    </w:p>
    <w:p>
      <w:pPr>
        <w:spacing w:after="0" w:line="1" w:lineRule="exact"/>
        <w:rPr>
          <w:rFonts w:ascii="Arial" w:cs="Arial" w:eastAsia="Arial" w:hAnsi="Arial"/>
          <w:sz w:val="16"/>
          <w:szCs w:val="16"/>
          <w:color w:val="auto"/>
        </w:rPr>
      </w:pPr>
    </w:p>
    <w:p>
      <w:pPr>
        <w:ind w:left="660" w:hanging="328"/>
        <w:spacing w:after="0" w:line="241"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lower interest rates may materially impact earnings as a result of generating less income on our loans and our ability to redeploy funds in a timely manner or to supplement earnings loss;</w:t>
      </w:r>
    </w:p>
    <w:p>
      <w:pPr>
        <w:spacing w:after="0" w:line="1" w:lineRule="exact"/>
        <w:rPr>
          <w:rFonts w:ascii="Times New Roman" w:cs="Times New Roman" w:eastAsia="Times New Roman" w:hAnsi="Times New Roman"/>
          <w:sz w:val="18"/>
          <w:szCs w:val="18"/>
          <w:color w:val="auto"/>
        </w:rPr>
      </w:pPr>
    </w:p>
    <w:p>
      <w:pPr>
        <w:ind w:left="660" w:hanging="328"/>
        <w:spacing w:after="0" w:line="236"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manage and stabilize properties;</w:t>
      </w:r>
    </w:p>
    <w:p>
      <w:pPr>
        <w:jc w:val="both"/>
        <w:ind w:left="660" w:hanging="328"/>
        <w:spacing w:after="0" w:line="242"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deterioration in the performance of the properties securing our investments (including the impact of higher interest expense, depletion of interest and other reserves or payment-in-kind concessions in lieu of current interest payment obligations</w:t>
      </w:r>
      <w:r>
        <w:rPr>
          <w:rFonts w:ascii="Arial" w:cs="Arial" w:eastAsia="Arial" w:hAnsi="Arial"/>
          <w:sz w:val="16"/>
          <w:szCs w:val="16"/>
          <w:color w:val="auto"/>
        </w:rPr>
        <w:t>,</w:t>
      </w:r>
      <w:r>
        <w:rPr>
          <w:rFonts w:ascii="Times New Roman" w:cs="Times New Roman" w:eastAsia="Times New Roman" w:hAnsi="Times New Roman"/>
          <w:sz w:val="18"/>
          <w:szCs w:val="18"/>
          <w:color w:val="auto"/>
        </w:rPr>
        <w:t xml:space="preserve"> population shifts and migration, or reduced demand for office, multifamily, hospitality or retail space) may cause deterioration in the performance of our investments and, potentially, principal losses to us;</w:t>
      </w:r>
    </w:p>
    <w:p>
      <w:pPr>
        <w:spacing w:after="0" w:line="2" w:lineRule="exact"/>
        <w:rPr>
          <w:rFonts w:ascii="Times New Roman" w:cs="Times New Roman" w:eastAsia="Times New Roman" w:hAnsi="Times New Roman"/>
          <w:sz w:val="18"/>
          <w:szCs w:val="18"/>
          <w:color w:val="auto"/>
        </w:rPr>
      </w:pPr>
    </w:p>
    <w:p>
      <w:pPr>
        <w:jc w:val="both"/>
        <w:ind w:left="660" w:hanging="328"/>
        <w:spacing w:after="0"/>
        <w:tabs>
          <w:tab w:leader="none" w:pos="649" w:val="left"/>
        </w:tabs>
        <w:numPr>
          <w:ilvl w:val="0"/>
          <w:numId w:val="3"/>
        </w:numPr>
        <w:rPr>
          <w:rFonts w:ascii="Arial" w:cs="Arial" w:eastAsia="Arial" w:hAnsi="Arial"/>
          <w:sz w:val="16"/>
          <w:szCs w:val="16"/>
          <w:color w:val="auto"/>
        </w:rPr>
      </w:pPr>
      <w:r>
        <w:rPr>
          <w:rFonts w:ascii="Times New Roman" w:cs="Times New Roman" w:eastAsia="Times New Roman" w:hAnsi="Times New Roman"/>
          <w:sz w:val="18"/>
          <w:szCs w:val="18"/>
          <w:color w:val="auto"/>
        </w:rPr>
        <w:t>the fair value of our investments may be subject to uncertainties including impacts associated with inflationary trends, decisions, actions and inactions of the Federal government that cause instability, the volatility of interest rates and credit spreads increased market volatility affecting commercial real estate businesses and public securities;</w:t>
      </w:r>
    </w:p>
    <w:p>
      <w:pPr>
        <w:ind w:left="660" w:hanging="328"/>
        <w:spacing w:after="0" w:line="242"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use of leverage and interest rate mismatches between our assets and borrowings could hinder our ability to make distributions and may significantly impact our liquidity position;</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realize expected returns on equity and/or yields on investments;</w:t>
      </w:r>
    </w:p>
    <w:p>
      <w:pPr>
        <w:spacing w:after="0" w:line="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impacts on our corporate revolver, including covenant compliance and borrowing base capacity;</w:t>
      </w:r>
    </w:p>
    <w:p>
      <w:pPr>
        <w:spacing w:after="0" w:line="9" w:lineRule="exact"/>
        <w:rPr>
          <w:rFonts w:ascii="Times New Roman" w:cs="Times New Roman" w:eastAsia="Times New Roman" w:hAnsi="Times New Roman"/>
          <w:sz w:val="18"/>
          <w:szCs w:val="18"/>
          <w:color w:val="auto"/>
        </w:rPr>
      </w:pPr>
    </w:p>
    <w:p>
      <w:pPr>
        <w:ind w:left="660" w:hanging="328"/>
        <w:spacing w:after="0" w:line="250"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impacts on our liquidity, including available capacity under and margin calls on master repurchase facilities, debt service or lease payment defaults or deferrals, demands for protective advances and capital expenditures;</w:t>
      </w:r>
    </w:p>
    <w:p>
      <w:pPr>
        <w:ind w:left="660" w:hanging="328"/>
        <w:spacing w:after="0" w:line="250"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real estate investments are relatively illiquid and we may not be able to vary our portfolio in response to changes in economic and other conditions, which may result in losses to us;</w:t>
      </w: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inability to refinance existing mortgage debt on our real estate portfolio;</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of and ability to deploy available capital;</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lack of an established minimum distribution payment level, and whether we can continue to pay distributions in the future;</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of and ability to complete repurchases of our common stock;</w:t>
      </w:r>
    </w:p>
    <w:p>
      <w:pPr>
        <w:spacing w:after="0" w:line="9" w:lineRule="exact"/>
        <w:rPr>
          <w:rFonts w:ascii="Times New Roman" w:cs="Times New Roman" w:eastAsia="Times New Roman" w:hAnsi="Times New Roman"/>
          <w:sz w:val="18"/>
          <w:szCs w:val="18"/>
          <w:color w:val="auto"/>
        </w:rPr>
      </w:pPr>
    </w:p>
    <w:p>
      <w:pPr>
        <w:ind w:left="660" w:right="20" w:hanging="328"/>
        <w:spacing w:after="0" w:line="250"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risks associated with obtaining mortgage financing on our real estate, which could materially adversely affect our business, financial condition and results of operations and our ability to make distributions to stockholders; and</w:t>
      </w:r>
    </w:p>
    <w:p>
      <w:pPr>
        <w:ind w:left="660" w:hanging="328"/>
        <w:spacing w:after="0" w:line="245"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legislative, regulatory, tax and competitive changes, regime changes and the actions of governmental authorities, and in particular those affecting the commercial real estate finance and mortgage industry or our business.</w:t>
      </w:r>
    </w:p>
    <w:p>
      <w:pPr>
        <w:spacing w:after="0" w:line="11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foregoing list of factors is not exhaustive. We urge you to carefully review the disclosures we make concerning risks in the sections entitled “Risk Factors” in our Annual Report on Form 10-K for the year ended December 31, 2025, “Risk Factors” in this Form 10-Q for the quarter ended September 30, 2026 and “Management’s Discussion and Analysis of Financial Condition and Results of Operations” herein.</w:t>
      </w:r>
    </w:p>
    <w:p>
      <w:pPr>
        <w:spacing w:after="0" w:line="10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caution investors not to unduly rely on any forward-looking statements. The forward-looking statements speak only as of the date of this Quarterly Report on Form 10-Q. The Company is under no duty to update any of these forward-looking statements after the date of this Quarterly Report on Form 10-Q, nor to conform prior statements to actual results or revised expectations, and the Company does not intend to do so.</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4040"/>
        <w:spacing w:after="0"/>
        <w:rPr>
          <w:sz w:val="20"/>
          <w:szCs w:val="20"/>
          <w:color w:val="auto"/>
        </w:rPr>
      </w:pPr>
      <w:r>
        <w:rPr>
          <w:rFonts w:ascii="Times New Roman" w:cs="Times New Roman" w:eastAsia="Times New Roman" w:hAnsi="Times New Roman"/>
          <w:sz w:val="18"/>
          <w:szCs w:val="18"/>
          <w:b w:val="1"/>
          <w:bCs w:val="1"/>
          <w:color w:val="auto"/>
        </w:rPr>
        <w:t>PART I—FINANCIAL INFORMATION</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p>
      <w:pPr>
        <w:spacing w:after="0" w:line="31" w:lineRule="exact"/>
        <w:rPr>
          <w:sz w:val="20"/>
          <w:szCs w:val="20"/>
          <w:color w:val="auto"/>
        </w:rPr>
      </w:pPr>
    </w:p>
    <w:p>
      <w:pPr>
        <w:jc w:val="center"/>
        <w:ind w:right="-559"/>
        <w:spacing w:after="0"/>
        <w:rPr>
          <w:sz w:val="20"/>
          <w:szCs w:val="20"/>
          <w:color w:val="auto"/>
        </w:rPr>
      </w:pPr>
      <w:r>
        <w:rPr>
          <w:rFonts w:ascii="Times New Roman" w:cs="Times New Roman" w:eastAsia="Times New Roman" w:hAnsi="Times New Roman"/>
          <w:sz w:val="18"/>
          <w:szCs w:val="18"/>
          <w:b w:val="1"/>
          <w:bCs w:val="1"/>
          <w:color w:val="auto"/>
        </w:rPr>
        <w:t>BRIGHTSPIRE CAPITAL, INC.</w:t>
      </w:r>
    </w:p>
    <w:p>
      <w:pPr>
        <w:spacing w:after="0" w:line="9" w:lineRule="exact"/>
        <w:rPr>
          <w:sz w:val="20"/>
          <w:szCs w:val="20"/>
          <w:color w:val="auto"/>
        </w:rPr>
      </w:pPr>
    </w:p>
    <w:p>
      <w:pPr>
        <w:jc w:val="center"/>
        <w:ind w:right="-559"/>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41" w:lineRule="exact"/>
        <w:rPr>
          <w:sz w:val="20"/>
          <w:szCs w:val="20"/>
          <w:color w:val="auto"/>
        </w:rPr>
      </w:pPr>
    </w:p>
    <w:p>
      <w:pPr>
        <w:jc w:val="center"/>
        <w:ind w:right="-559"/>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63" w:lineRule="exact"/>
        <w:rPr>
          <w:sz w:val="20"/>
          <w:szCs w:val="20"/>
          <w:color w:val="auto"/>
        </w:rPr>
      </w:pPr>
    </w:p>
    <w:p>
      <w:pPr>
        <w:jc w:val="center"/>
        <w:ind w:right="-55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24" w:lineRule="exact"/>
        <w:rPr>
          <w:sz w:val="20"/>
          <w:szCs w:val="20"/>
          <w:color w:val="auto"/>
        </w:rPr>
      </w:pPr>
    </w:p>
    <w:tbl>
      <w:tblPr>
        <w:tblLayout w:type="fixed"/>
        <w:tblInd w:w="580" w:type="dxa"/>
        <w:tblCellMar>
          <w:top w:w="0" w:type="dxa"/>
          <w:left w:w="0" w:type="dxa"/>
          <w:bottom w:w="0" w:type="dxa"/>
          <w:right w:w="0" w:type="dxa"/>
        </w:tblCellMar>
      </w:tblPr>
      <w:tr>
        <w:trPr>
          <w:trHeight w:val="215"/>
        </w:trPr>
        <w:tc>
          <w:tcPr>
            <w:tcW w:w="6920" w:type="dxa"/>
            <w:vAlign w:val="bottom"/>
          </w:tcPr>
          <w:p>
            <w:pPr>
              <w:spacing w:after="0"/>
              <w:rPr>
                <w:sz w:val="18"/>
                <w:szCs w:val="18"/>
                <w:color w:val="auto"/>
              </w:rPr>
            </w:pPr>
          </w:p>
        </w:tc>
        <w:tc>
          <w:tcPr>
            <w:tcW w:w="1640" w:type="dxa"/>
            <w:vAlign w:val="bottom"/>
            <w:gridSpan w:val="3"/>
          </w:tcPr>
          <w:p>
            <w:pPr>
              <w:ind w:left="100"/>
              <w:spacing w:after="0"/>
              <w:rPr>
                <w:sz w:val="20"/>
                <w:szCs w:val="20"/>
                <w:color w:val="auto"/>
              </w:rPr>
            </w:pPr>
            <w:r>
              <w:rPr>
                <w:rFonts w:ascii="Times New Roman" w:cs="Times New Roman" w:eastAsia="Times New Roman" w:hAnsi="Times New Roman"/>
                <w:sz w:val="16"/>
                <w:szCs w:val="16"/>
                <w:b w:val="1"/>
                <w:bCs w:val="1"/>
                <w:color w:val="auto"/>
              </w:rPr>
              <w:t>September 30, 2026</w:t>
            </w:r>
          </w:p>
        </w:tc>
        <w:tc>
          <w:tcPr>
            <w:tcW w:w="100" w:type="dxa"/>
            <w:vAlign w:val="bottom"/>
          </w:tcPr>
          <w:p>
            <w:pPr>
              <w:spacing w:after="0"/>
              <w:rPr>
                <w:sz w:val="18"/>
                <w:szCs w:val="18"/>
                <w:color w:val="auto"/>
              </w:rPr>
            </w:pPr>
          </w:p>
        </w:tc>
        <w:tc>
          <w:tcPr>
            <w:tcW w:w="1440" w:type="dxa"/>
            <w:vAlign w:val="bottom"/>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December 31, 2025</w:t>
            </w:r>
          </w:p>
        </w:tc>
        <w:tc>
          <w:tcPr>
            <w:tcW w:w="0" w:type="dxa"/>
            <w:vAlign w:val="bottom"/>
          </w:tcPr>
          <w:p>
            <w:pPr>
              <w:spacing w:after="0"/>
              <w:rPr>
                <w:sz w:val="1"/>
                <w:szCs w:val="1"/>
                <w:color w:val="auto"/>
              </w:rPr>
            </w:pPr>
          </w:p>
        </w:tc>
      </w:tr>
      <w:tr>
        <w:trPr>
          <w:trHeight w:val="213"/>
        </w:trPr>
        <w:tc>
          <w:tcPr>
            <w:tcW w:w="69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42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44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69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420" w:type="dxa"/>
            <w:vAlign w:val="bottom"/>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63,601</w:t>
            </w:r>
          </w:p>
        </w:tc>
        <w:tc>
          <w:tcPr>
            <w:tcW w:w="10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66,789</w:t>
            </w:r>
          </w:p>
        </w:tc>
        <w:tc>
          <w:tcPr>
            <w:tcW w:w="0" w:type="dxa"/>
            <w:vAlign w:val="bottom"/>
          </w:tcPr>
          <w:p>
            <w:pPr>
              <w:spacing w:after="0"/>
              <w:rPr>
                <w:sz w:val="1"/>
                <w:szCs w:val="1"/>
                <w:color w:val="auto"/>
              </w:rPr>
            </w:pPr>
          </w:p>
        </w:tc>
      </w:tr>
      <w:tr>
        <w:trPr>
          <w:trHeight w:val="232"/>
        </w:trPr>
        <w:tc>
          <w:tcPr>
            <w:tcW w:w="69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Restricted cash</w:t>
            </w:r>
          </w:p>
        </w:tc>
        <w:tc>
          <w:tcPr>
            <w:tcW w:w="420" w:type="dxa"/>
            <w:vAlign w:val="bottom"/>
            <w:shd w:val="clear" w:color="auto" w:fill="CCEEFF"/>
          </w:tcPr>
          <w:p>
            <w:pPr>
              <w:spacing w:after="0"/>
              <w:rPr>
                <w:sz w:val="20"/>
                <w:szCs w:val="20"/>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113,996</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107,046</w:t>
            </w:r>
          </w:p>
        </w:tc>
        <w:tc>
          <w:tcPr>
            <w:tcW w:w="0" w:type="dxa"/>
            <w:vAlign w:val="bottom"/>
          </w:tcPr>
          <w:p>
            <w:pPr>
              <w:spacing w:after="0"/>
              <w:rPr>
                <w:sz w:val="1"/>
                <w:szCs w:val="1"/>
                <w:color w:val="auto"/>
              </w:rPr>
            </w:pPr>
          </w:p>
        </w:tc>
      </w:tr>
      <w:tr>
        <w:trPr>
          <w:trHeight w:val="227"/>
        </w:trPr>
        <w:tc>
          <w:tcPr>
            <w:tcW w:w="69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Loans and preferred equity held for investment</w:t>
            </w:r>
          </w:p>
        </w:tc>
        <w:tc>
          <w:tcPr>
            <w:tcW w:w="4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3,082,324</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2,678,315</w:t>
            </w:r>
          </w:p>
        </w:tc>
        <w:tc>
          <w:tcPr>
            <w:tcW w:w="0" w:type="dxa"/>
            <w:vAlign w:val="bottom"/>
          </w:tcPr>
          <w:p>
            <w:pPr>
              <w:spacing w:after="0"/>
              <w:rPr>
                <w:sz w:val="1"/>
                <w:szCs w:val="1"/>
                <w:color w:val="auto"/>
              </w:rPr>
            </w:pPr>
          </w:p>
        </w:tc>
      </w:tr>
      <w:tr>
        <w:trPr>
          <w:trHeight w:val="229"/>
        </w:trPr>
        <w:tc>
          <w:tcPr>
            <w:tcW w:w="69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Current expected credit loss reserve</w:t>
            </w:r>
          </w:p>
        </w:tc>
        <w:tc>
          <w:tcPr>
            <w:tcW w:w="4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(106,317)</w:t>
            </w:r>
          </w:p>
        </w:tc>
        <w:tc>
          <w:tcPr>
            <w:tcW w:w="10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(87,401)</w:t>
            </w:r>
          </w:p>
        </w:tc>
        <w:tc>
          <w:tcPr>
            <w:tcW w:w="0" w:type="dxa"/>
            <w:vAlign w:val="bottom"/>
          </w:tcPr>
          <w:p>
            <w:pPr>
              <w:spacing w:after="0"/>
              <w:rPr>
                <w:sz w:val="1"/>
                <w:szCs w:val="1"/>
                <w:color w:val="auto"/>
              </w:rPr>
            </w:pPr>
          </w:p>
        </w:tc>
      </w:tr>
      <w:tr>
        <w:trPr>
          <w:trHeight w:val="223"/>
        </w:trPr>
        <w:tc>
          <w:tcPr>
            <w:tcW w:w="69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Loans and preferred equity held for investment, net</w:t>
            </w:r>
          </w:p>
        </w:tc>
        <w:tc>
          <w:tcPr>
            <w:tcW w:w="4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2,976,007</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2,590,914</w:t>
            </w:r>
          </w:p>
        </w:tc>
        <w:tc>
          <w:tcPr>
            <w:tcW w:w="0" w:type="dxa"/>
            <w:vAlign w:val="bottom"/>
          </w:tcPr>
          <w:p>
            <w:pPr>
              <w:spacing w:after="0"/>
              <w:rPr>
                <w:sz w:val="1"/>
                <w:szCs w:val="1"/>
                <w:color w:val="auto"/>
              </w:rPr>
            </w:pPr>
          </w:p>
        </w:tc>
      </w:tr>
      <w:tr>
        <w:trPr>
          <w:trHeight w:val="233"/>
        </w:trPr>
        <w:tc>
          <w:tcPr>
            <w:tcW w:w="69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Real estate, net</w:t>
            </w:r>
          </w:p>
        </w:tc>
        <w:tc>
          <w:tcPr>
            <w:tcW w:w="420" w:type="dxa"/>
            <w:vAlign w:val="bottom"/>
            <w:shd w:val="clear" w:color="auto" w:fill="CCEEFF"/>
          </w:tcPr>
          <w:p>
            <w:pPr>
              <w:spacing w:after="0"/>
              <w:rPr>
                <w:sz w:val="20"/>
                <w:szCs w:val="20"/>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413,044</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679,779</w:t>
            </w:r>
          </w:p>
        </w:tc>
        <w:tc>
          <w:tcPr>
            <w:tcW w:w="0" w:type="dxa"/>
            <w:vAlign w:val="bottom"/>
          </w:tcPr>
          <w:p>
            <w:pPr>
              <w:spacing w:after="0"/>
              <w:rPr>
                <w:sz w:val="1"/>
                <w:szCs w:val="1"/>
                <w:color w:val="auto"/>
              </w:rPr>
            </w:pPr>
          </w:p>
        </w:tc>
      </w:tr>
      <w:tr>
        <w:trPr>
          <w:trHeight w:val="226"/>
        </w:trPr>
        <w:tc>
          <w:tcPr>
            <w:tcW w:w="69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Receivables, net</w:t>
            </w:r>
          </w:p>
        </w:tc>
        <w:tc>
          <w:tcPr>
            <w:tcW w:w="4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39,495</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45,591</w:t>
            </w:r>
          </w:p>
        </w:tc>
        <w:tc>
          <w:tcPr>
            <w:tcW w:w="0" w:type="dxa"/>
            <w:vAlign w:val="bottom"/>
          </w:tcPr>
          <w:p>
            <w:pPr>
              <w:spacing w:after="0"/>
              <w:rPr>
                <w:sz w:val="1"/>
                <w:szCs w:val="1"/>
                <w:color w:val="auto"/>
              </w:rPr>
            </w:pPr>
          </w:p>
        </w:tc>
      </w:tr>
      <w:tr>
        <w:trPr>
          <w:trHeight w:val="233"/>
        </w:trPr>
        <w:tc>
          <w:tcPr>
            <w:tcW w:w="69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Deferred leasing costs and intangible assets, net</w:t>
            </w:r>
          </w:p>
        </w:tc>
        <w:tc>
          <w:tcPr>
            <w:tcW w:w="420" w:type="dxa"/>
            <w:vAlign w:val="bottom"/>
            <w:shd w:val="clear" w:color="auto" w:fill="CCEEFF"/>
          </w:tcPr>
          <w:p>
            <w:pPr>
              <w:spacing w:after="0"/>
              <w:rPr>
                <w:sz w:val="20"/>
                <w:szCs w:val="20"/>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3,744</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27,646</w:t>
            </w:r>
          </w:p>
        </w:tc>
        <w:tc>
          <w:tcPr>
            <w:tcW w:w="0" w:type="dxa"/>
            <w:vAlign w:val="bottom"/>
          </w:tcPr>
          <w:p>
            <w:pPr>
              <w:spacing w:after="0"/>
              <w:rPr>
                <w:sz w:val="1"/>
                <w:szCs w:val="1"/>
                <w:color w:val="auto"/>
              </w:rPr>
            </w:pPr>
          </w:p>
        </w:tc>
      </w:tr>
      <w:tr>
        <w:trPr>
          <w:trHeight w:val="227"/>
        </w:trPr>
        <w:tc>
          <w:tcPr>
            <w:tcW w:w="69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Assets held for sale</w:t>
            </w:r>
          </w:p>
        </w:tc>
        <w:tc>
          <w:tcPr>
            <w:tcW w:w="4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32,012</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29"/>
        </w:trPr>
        <w:tc>
          <w:tcPr>
            <w:tcW w:w="69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Other assets</w:t>
            </w:r>
          </w:p>
        </w:tc>
        <w:tc>
          <w:tcPr>
            <w:tcW w:w="4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25,674</w:t>
            </w:r>
          </w:p>
        </w:tc>
        <w:tc>
          <w:tcPr>
            <w:tcW w:w="10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47,065</w:t>
            </w:r>
          </w:p>
        </w:tc>
        <w:tc>
          <w:tcPr>
            <w:tcW w:w="0" w:type="dxa"/>
            <w:vAlign w:val="bottom"/>
          </w:tcPr>
          <w:p>
            <w:pPr>
              <w:spacing w:after="0"/>
              <w:rPr>
                <w:sz w:val="1"/>
                <w:szCs w:val="1"/>
                <w:color w:val="auto"/>
              </w:rPr>
            </w:pPr>
          </w:p>
        </w:tc>
      </w:tr>
      <w:tr>
        <w:trPr>
          <w:trHeight w:val="226"/>
        </w:trPr>
        <w:tc>
          <w:tcPr>
            <w:tcW w:w="69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Total assets</w:t>
            </w:r>
          </w:p>
        </w:tc>
        <w:tc>
          <w:tcPr>
            <w:tcW w:w="420" w:type="dxa"/>
            <w:vAlign w:val="bottom"/>
            <w:tcBorders>
              <w:bottom w:val="single" w:sz="8" w:color="auto"/>
            </w:tcBorders>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3,667,573</w:t>
            </w:r>
          </w:p>
        </w:tc>
        <w:tc>
          <w:tcPr>
            <w:tcW w:w="10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3,564,830</w:t>
            </w:r>
          </w:p>
        </w:tc>
        <w:tc>
          <w:tcPr>
            <w:tcW w:w="0" w:type="dxa"/>
            <w:vAlign w:val="bottom"/>
          </w:tcPr>
          <w:p>
            <w:pPr>
              <w:spacing w:after="0"/>
              <w:rPr>
                <w:sz w:val="1"/>
                <w:szCs w:val="1"/>
                <w:color w:val="auto"/>
              </w:rPr>
            </w:pPr>
          </w:p>
        </w:tc>
      </w:tr>
      <w:tr>
        <w:trPr>
          <w:trHeight w:val="20"/>
        </w:trPr>
        <w:tc>
          <w:tcPr>
            <w:tcW w:w="692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Liabilities</w:t>
            </w:r>
          </w:p>
        </w:tc>
        <w:tc>
          <w:tcPr>
            <w:tcW w:w="4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6"/>
        </w:trPr>
        <w:tc>
          <w:tcPr>
            <w:tcW w:w="69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Securitization bonds payable, net</w:t>
            </w:r>
          </w:p>
        </w:tc>
        <w:tc>
          <w:tcPr>
            <w:tcW w:w="420" w:type="dxa"/>
            <w:vAlign w:val="bottom"/>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1,362,731</w:t>
            </w:r>
          </w:p>
        </w:tc>
        <w:tc>
          <w:tcPr>
            <w:tcW w:w="10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977,082</w:t>
            </w:r>
          </w:p>
        </w:tc>
        <w:tc>
          <w:tcPr>
            <w:tcW w:w="0" w:type="dxa"/>
            <w:vAlign w:val="bottom"/>
          </w:tcPr>
          <w:p>
            <w:pPr>
              <w:spacing w:after="0"/>
              <w:rPr>
                <w:sz w:val="1"/>
                <w:szCs w:val="1"/>
                <w:color w:val="auto"/>
              </w:rPr>
            </w:pPr>
          </w:p>
        </w:tc>
      </w:tr>
      <w:tr>
        <w:trPr>
          <w:trHeight w:val="233"/>
        </w:trPr>
        <w:tc>
          <w:tcPr>
            <w:tcW w:w="69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Mortgage and other notes payable, net</w:t>
            </w:r>
          </w:p>
        </w:tc>
        <w:tc>
          <w:tcPr>
            <w:tcW w:w="420" w:type="dxa"/>
            <w:vAlign w:val="bottom"/>
            <w:shd w:val="clear" w:color="auto" w:fill="CCEEFF"/>
          </w:tcPr>
          <w:p>
            <w:pPr>
              <w:spacing w:after="0"/>
              <w:rPr>
                <w:sz w:val="20"/>
                <w:szCs w:val="20"/>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210,988</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414,060</w:t>
            </w:r>
          </w:p>
        </w:tc>
        <w:tc>
          <w:tcPr>
            <w:tcW w:w="0" w:type="dxa"/>
            <w:vAlign w:val="bottom"/>
          </w:tcPr>
          <w:p>
            <w:pPr>
              <w:spacing w:after="0"/>
              <w:rPr>
                <w:sz w:val="1"/>
                <w:szCs w:val="1"/>
                <w:color w:val="auto"/>
              </w:rPr>
            </w:pPr>
          </w:p>
        </w:tc>
      </w:tr>
      <w:tr>
        <w:trPr>
          <w:trHeight w:val="227"/>
        </w:trPr>
        <w:tc>
          <w:tcPr>
            <w:tcW w:w="69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Credit facilities</w:t>
            </w:r>
          </w:p>
        </w:tc>
        <w:tc>
          <w:tcPr>
            <w:tcW w:w="4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1,059,853</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1,078,098</w:t>
            </w:r>
          </w:p>
        </w:tc>
        <w:tc>
          <w:tcPr>
            <w:tcW w:w="0" w:type="dxa"/>
            <w:vAlign w:val="bottom"/>
          </w:tcPr>
          <w:p>
            <w:pPr>
              <w:spacing w:after="0"/>
              <w:rPr>
                <w:sz w:val="1"/>
                <w:szCs w:val="1"/>
                <w:color w:val="auto"/>
              </w:rPr>
            </w:pPr>
          </w:p>
        </w:tc>
      </w:tr>
      <w:tr>
        <w:trPr>
          <w:trHeight w:val="232"/>
        </w:trPr>
        <w:tc>
          <w:tcPr>
            <w:tcW w:w="69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Accrued and other liabilities</w:t>
            </w:r>
          </w:p>
        </w:tc>
        <w:tc>
          <w:tcPr>
            <w:tcW w:w="420" w:type="dxa"/>
            <w:vAlign w:val="bottom"/>
            <w:shd w:val="clear" w:color="auto" w:fill="CCEEFF"/>
          </w:tcPr>
          <w:p>
            <w:pPr>
              <w:spacing w:after="0"/>
              <w:rPr>
                <w:sz w:val="20"/>
                <w:szCs w:val="20"/>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54,257</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64,098</w:t>
            </w:r>
          </w:p>
        </w:tc>
        <w:tc>
          <w:tcPr>
            <w:tcW w:w="0" w:type="dxa"/>
            <w:vAlign w:val="bottom"/>
          </w:tcPr>
          <w:p>
            <w:pPr>
              <w:spacing w:after="0"/>
              <w:rPr>
                <w:sz w:val="1"/>
                <w:szCs w:val="1"/>
                <w:color w:val="auto"/>
              </w:rPr>
            </w:pPr>
          </w:p>
        </w:tc>
      </w:tr>
      <w:tr>
        <w:trPr>
          <w:trHeight w:val="227"/>
        </w:trPr>
        <w:tc>
          <w:tcPr>
            <w:tcW w:w="69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Escrow deposits payable</w:t>
            </w:r>
          </w:p>
        </w:tc>
        <w:tc>
          <w:tcPr>
            <w:tcW w:w="4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88,139</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82,511</w:t>
            </w:r>
          </w:p>
        </w:tc>
        <w:tc>
          <w:tcPr>
            <w:tcW w:w="0" w:type="dxa"/>
            <w:vAlign w:val="bottom"/>
          </w:tcPr>
          <w:p>
            <w:pPr>
              <w:spacing w:after="0"/>
              <w:rPr>
                <w:sz w:val="1"/>
                <w:szCs w:val="1"/>
                <w:color w:val="auto"/>
              </w:rPr>
            </w:pPr>
          </w:p>
        </w:tc>
      </w:tr>
      <w:tr>
        <w:trPr>
          <w:trHeight w:val="233"/>
        </w:trPr>
        <w:tc>
          <w:tcPr>
            <w:tcW w:w="69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Dividends payable</w:t>
            </w:r>
          </w:p>
        </w:tc>
        <w:tc>
          <w:tcPr>
            <w:tcW w:w="420" w:type="dxa"/>
            <w:vAlign w:val="bottom"/>
            <w:tcBorders>
              <w:bottom w:val="single" w:sz="8" w:color="auto"/>
            </w:tcBorders>
            <w:shd w:val="clear" w:color="auto" w:fill="CCEEFF"/>
          </w:tcPr>
          <w:p>
            <w:pPr>
              <w:spacing w:after="0"/>
              <w:rPr>
                <w:sz w:val="20"/>
                <w:szCs w:val="20"/>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21,812</w:t>
            </w:r>
          </w:p>
        </w:tc>
        <w:tc>
          <w:tcPr>
            <w:tcW w:w="100" w:type="dxa"/>
            <w:vAlign w:val="bottom"/>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20,576</w:t>
            </w:r>
          </w:p>
        </w:tc>
        <w:tc>
          <w:tcPr>
            <w:tcW w:w="0" w:type="dxa"/>
            <w:vAlign w:val="bottom"/>
          </w:tcPr>
          <w:p>
            <w:pPr>
              <w:spacing w:after="0"/>
              <w:rPr>
                <w:sz w:val="1"/>
                <w:szCs w:val="1"/>
                <w:color w:val="auto"/>
              </w:rPr>
            </w:pPr>
          </w:p>
        </w:tc>
      </w:tr>
      <w:tr>
        <w:trPr>
          <w:trHeight w:val="220"/>
        </w:trPr>
        <w:tc>
          <w:tcPr>
            <w:tcW w:w="69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Total liabilities</w:t>
            </w:r>
          </w:p>
        </w:tc>
        <w:tc>
          <w:tcPr>
            <w:tcW w:w="4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2,797,780</w:t>
            </w:r>
          </w:p>
        </w:tc>
        <w:tc>
          <w:tcPr>
            <w:tcW w:w="10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2,636,425</w:t>
            </w:r>
          </w:p>
        </w:tc>
        <w:tc>
          <w:tcPr>
            <w:tcW w:w="0" w:type="dxa"/>
            <w:vAlign w:val="bottom"/>
          </w:tcPr>
          <w:p>
            <w:pPr>
              <w:spacing w:after="0"/>
              <w:rPr>
                <w:sz w:val="1"/>
                <w:szCs w:val="1"/>
                <w:color w:val="auto"/>
              </w:rPr>
            </w:pPr>
          </w:p>
        </w:tc>
      </w:tr>
      <w:tr>
        <w:trPr>
          <w:trHeight w:val="213"/>
        </w:trPr>
        <w:tc>
          <w:tcPr>
            <w:tcW w:w="6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Commitments and contingencies (Note 12)</w:t>
            </w:r>
          </w:p>
        </w:tc>
        <w:tc>
          <w:tcPr>
            <w:tcW w:w="4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69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Equity</w:t>
            </w:r>
          </w:p>
        </w:tc>
        <w:tc>
          <w:tcPr>
            <w:tcW w:w="4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6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Stockholders’ equity</w:t>
            </w:r>
          </w:p>
        </w:tc>
        <w:tc>
          <w:tcPr>
            <w:tcW w:w="42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75"/>
        </w:trPr>
        <w:tc>
          <w:tcPr>
            <w:tcW w:w="6920" w:type="dxa"/>
            <w:vAlign w:val="bottom"/>
          </w:tcPr>
          <w:p>
            <w:pPr>
              <w:ind w:left="180"/>
              <w:spacing w:after="0" w:line="175" w:lineRule="exact"/>
              <w:rPr>
                <w:sz w:val="20"/>
                <w:szCs w:val="20"/>
                <w:color w:val="auto"/>
              </w:rPr>
            </w:pPr>
            <w:r>
              <w:rPr>
                <w:rFonts w:ascii="Times New Roman" w:cs="Times New Roman" w:eastAsia="Times New Roman" w:hAnsi="Times New Roman"/>
                <w:sz w:val="16"/>
                <w:szCs w:val="16"/>
                <w:color w:val="auto"/>
              </w:rPr>
              <w:t>Preferred stock, $0.01 par value, 50,000,000 shares authorized, no shares issued and outstanding as of</w:t>
            </w:r>
          </w:p>
        </w:tc>
        <w:tc>
          <w:tcPr>
            <w:tcW w:w="420" w:type="dxa"/>
            <w:vAlign w:val="bottom"/>
          </w:tcPr>
          <w:p>
            <w:pPr>
              <w:spacing w:after="0"/>
              <w:rPr>
                <w:sz w:val="15"/>
                <w:szCs w:val="15"/>
                <w:color w:val="auto"/>
              </w:rPr>
            </w:pPr>
          </w:p>
        </w:tc>
        <w:tc>
          <w:tcPr>
            <w:tcW w:w="12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5"/>
                <w:szCs w:val="15"/>
                <w:color w:val="auto"/>
              </w:rPr>
            </w:pPr>
          </w:p>
        </w:tc>
        <w:tc>
          <w:tcPr>
            <w:tcW w:w="14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9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September 30, 2026 and December 31, 2025, respectively</w:t>
            </w:r>
          </w:p>
        </w:tc>
        <w:tc>
          <w:tcPr>
            <w:tcW w:w="420" w:type="dxa"/>
            <w:vAlign w:val="bottom"/>
          </w:tcPr>
          <w:p>
            <w:pPr>
              <w:spacing w:after="0"/>
              <w:rPr>
                <w:sz w:val="18"/>
                <w:szCs w:val="18"/>
                <w:color w:val="auto"/>
              </w:rPr>
            </w:pPr>
          </w:p>
        </w:tc>
        <w:tc>
          <w:tcPr>
            <w:tcW w:w="122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9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Common stock, $0.01 par value per share</w:t>
            </w:r>
          </w:p>
        </w:tc>
        <w:tc>
          <w:tcPr>
            <w:tcW w:w="4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6920" w:type="dxa"/>
            <w:vAlign w:val="bottom"/>
          </w:tcPr>
          <w:p>
            <w:pPr>
              <w:ind w:left="500"/>
              <w:spacing w:after="0" w:line="175" w:lineRule="exact"/>
              <w:rPr>
                <w:sz w:val="20"/>
                <w:szCs w:val="20"/>
                <w:color w:val="auto"/>
              </w:rPr>
            </w:pPr>
            <w:r>
              <w:rPr>
                <w:rFonts w:ascii="Times New Roman" w:cs="Times New Roman" w:eastAsia="Times New Roman" w:hAnsi="Times New Roman"/>
                <w:sz w:val="16"/>
                <w:szCs w:val="16"/>
                <w:color w:val="auto"/>
              </w:rPr>
              <w:t>Class A, 950,000,000 shares authorized, 124,676,733 and 128,627,246 shares issued and</w:t>
            </w:r>
          </w:p>
        </w:tc>
        <w:tc>
          <w:tcPr>
            <w:tcW w:w="420" w:type="dxa"/>
            <w:vAlign w:val="bottom"/>
          </w:tcPr>
          <w:p>
            <w:pPr>
              <w:spacing w:after="0"/>
              <w:rPr>
                <w:sz w:val="15"/>
                <w:szCs w:val="15"/>
                <w:color w:val="auto"/>
              </w:rPr>
            </w:pPr>
          </w:p>
        </w:tc>
        <w:tc>
          <w:tcPr>
            <w:tcW w:w="11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1,247</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1,286</w:t>
            </w:r>
          </w:p>
        </w:tc>
        <w:tc>
          <w:tcPr>
            <w:tcW w:w="0" w:type="dxa"/>
            <w:vAlign w:val="bottom"/>
          </w:tcPr>
          <w:p>
            <w:pPr>
              <w:spacing w:after="0"/>
              <w:rPr>
                <w:sz w:val="1"/>
                <w:szCs w:val="1"/>
                <w:color w:val="auto"/>
              </w:rPr>
            </w:pPr>
          </w:p>
        </w:tc>
      </w:tr>
      <w:tr>
        <w:trPr>
          <w:trHeight w:val="213"/>
        </w:trPr>
        <w:tc>
          <w:tcPr>
            <w:tcW w:w="6920" w:type="dxa"/>
            <w:vAlign w:val="bottom"/>
          </w:tcPr>
          <w:p>
            <w:pPr>
              <w:ind w:left="500"/>
              <w:spacing w:after="0"/>
              <w:rPr>
                <w:sz w:val="20"/>
                <w:szCs w:val="20"/>
                <w:color w:val="auto"/>
              </w:rPr>
            </w:pPr>
            <w:r>
              <w:rPr>
                <w:rFonts w:ascii="Times New Roman" w:cs="Times New Roman" w:eastAsia="Times New Roman" w:hAnsi="Times New Roman"/>
                <w:sz w:val="16"/>
                <w:szCs w:val="16"/>
                <w:color w:val="auto"/>
              </w:rPr>
              <w:t>outstanding as of September 30, 2026 and December 31, 2025, respectively</w:t>
            </w:r>
          </w:p>
        </w:tc>
        <w:tc>
          <w:tcPr>
            <w:tcW w:w="420" w:type="dxa"/>
            <w:vAlign w:val="bottom"/>
          </w:tcPr>
          <w:p>
            <w:pPr>
              <w:spacing w:after="0"/>
              <w:rPr>
                <w:sz w:val="18"/>
                <w:szCs w:val="18"/>
                <w:color w:val="auto"/>
              </w:rPr>
            </w:pPr>
          </w:p>
        </w:tc>
        <w:tc>
          <w:tcPr>
            <w:tcW w:w="11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2"/>
        </w:trPr>
        <w:tc>
          <w:tcPr>
            <w:tcW w:w="69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Additional paid-in capital</w:t>
            </w:r>
          </w:p>
        </w:tc>
        <w:tc>
          <w:tcPr>
            <w:tcW w:w="420" w:type="dxa"/>
            <w:vAlign w:val="bottom"/>
            <w:shd w:val="clear" w:color="auto" w:fill="CCEEFF"/>
          </w:tcPr>
          <w:p>
            <w:pPr>
              <w:spacing w:after="0"/>
              <w:rPr>
                <w:sz w:val="20"/>
                <w:szCs w:val="20"/>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2,838,885</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2,863,377</w:t>
            </w:r>
          </w:p>
        </w:tc>
        <w:tc>
          <w:tcPr>
            <w:tcW w:w="0" w:type="dxa"/>
            <w:vAlign w:val="bottom"/>
          </w:tcPr>
          <w:p>
            <w:pPr>
              <w:spacing w:after="0"/>
              <w:rPr>
                <w:sz w:val="1"/>
                <w:szCs w:val="1"/>
                <w:color w:val="auto"/>
              </w:rPr>
            </w:pPr>
          </w:p>
        </w:tc>
      </w:tr>
      <w:tr>
        <w:trPr>
          <w:trHeight w:val="227"/>
        </w:trPr>
        <w:tc>
          <w:tcPr>
            <w:tcW w:w="692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6"/>
                <w:szCs w:val="16"/>
                <w:color w:val="auto"/>
              </w:rPr>
              <w:t>Accumulated deficit</w:t>
            </w:r>
          </w:p>
        </w:tc>
        <w:tc>
          <w:tcPr>
            <w:tcW w:w="4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(1,957,040)</w:t>
            </w:r>
          </w:p>
        </w:tc>
        <w:tc>
          <w:tcPr>
            <w:tcW w:w="10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(1,926,231)</w:t>
            </w:r>
          </w:p>
        </w:tc>
        <w:tc>
          <w:tcPr>
            <w:tcW w:w="0" w:type="dxa"/>
            <w:vAlign w:val="bottom"/>
          </w:tcPr>
          <w:p>
            <w:pPr>
              <w:spacing w:after="0"/>
              <w:rPr>
                <w:sz w:val="1"/>
                <w:szCs w:val="1"/>
                <w:color w:val="auto"/>
              </w:rPr>
            </w:pPr>
          </w:p>
        </w:tc>
      </w:tr>
      <w:tr>
        <w:trPr>
          <w:trHeight w:val="226"/>
        </w:trPr>
        <w:tc>
          <w:tcPr>
            <w:tcW w:w="692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6"/>
                <w:szCs w:val="16"/>
                <w:color w:val="auto"/>
              </w:rPr>
              <w:t>Total stockholders’ equity</w:t>
            </w:r>
          </w:p>
        </w:tc>
        <w:tc>
          <w:tcPr>
            <w:tcW w:w="4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883,092</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938,432</w:t>
            </w:r>
          </w:p>
        </w:tc>
        <w:tc>
          <w:tcPr>
            <w:tcW w:w="0" w:type="dxa"/>
            <w:vAlign w:val="bottom"/>
          </w:tcPr>
          <w:p>
            <w:pPr>
              <w:spacing w:after="0"/>
              <w:rPr>
                <w:sz w:val="1"/>
                <w:szCs w:val="1"/>
                <w:color w:val="auto"/>
              </w:rPr>
            </w:pPr>
          </w:p>
        </w:tc>
      </w:tr>
      <w:tr>
        <w:trPr>
          <w:trHeight w:val="227"/>
        </w:trPr>
        <w:tc>
          <w:tcPr>
            <w:tcW w:w="69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Noncontrolling interests in investment entities</w:t>
            </w:r>
          </w:p>
        </w:tc>
        <w:tc>
          <w:tcPr>
            <w:tcW w:w="4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(13,299)</w:t>
            </w:r>
          </w:p>
        </w:tc>
        <w:tc>
          <w:tcPr>
            <w:tcW w:w="10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(10,027)</w:t>
            </w:r>
          </w:p>
        </w:tc>
        <w:tc>
          <w:tcPr>
            <w:tcW w:w="0" w:type="dxa"/>
            <w:vAlign w:val="bottom"/>
          </w:tcPr>
          <w:p>
            <w:pPr>
              <w:spacing w:after="0"/>
              <w:rPr>
                <w:sz w:val="1"/>
                <w:szCs w:val="1"/>
                <w:color w:val="auto"/>
              </w:rPr>
            </w:pPr>
          </w:p>
        </w:tc>
      </w:tr>
      <w:tr>
        <w:trPr>
          <w:trHeight w:val="223"/>
        </w:trPr>
        <w:tc>
          <w:tcPr>
            <w:tcW w:w="6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equity</w:t>
            </w:r>
          </w:p>
        </w:tc>
        <w:tc>
          <w:tcPr>
            <w:tcW w:w="4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869,793</w:t>
            </w:r>
          </w:p>
        </w:tc>
        <w:tc>
          <w:tcPr>
            <w:tcW w:w="10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928,405</w:t>
            </w:r>
          </w:p>
        </w:tc>
        <w:tc>
          <w:tcPr>
            <w:tcW w:w="0" w:type="dxa"/>
            <w:vAlign w:val="bottom"/>
          </w:tcPr>
          <w:p>
            <w:pPr>
              <w:spacing w:after="0"/>
              <w:rPr>
                <w:sz w:val="1"/>
                <w:szCs w:val="1"/>
                <w:color w:val="auto"/>
              </w:rPr>
            </w:pPr>
          </w:p>
        </w:tc>
      </w:tr>
      <w:tr>
        <w:trPr>
          <w:trHeight w:val="226"/>
        </w:trPr>
        <w:tc>
          <w:tcPr>
            <w:tcW w:w="69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Total liabilities and equity</w:t>
            </w:r>
          </w:p>
        </w:tc>
        <w:tc>
          <w:tcPr>
            <w:tcW w:w="420" w:type="dxa"/>
            <w:vAlign w:val="bottom"/>
            <w:tcBorders>
              <w:bottom w:val="single" w:sz="8" w:color="auto"/>
            </w:tcBorders>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3,667,573</w:t>
            </w:r>
          </w:p>
        </w:tc>
        <w:tc>
          <w:tcPr>
            <w:tcW w:w="10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3,564,830</w:t>
            </w:r>
          </w:p>
        </w:tc>
        <w:tc>
          <w:tcPr>
            <w:tcW w:w="0" w:type="dxa"/>
            <w:vAlign w:val="bottom"/>
          </w:tcPr>
          <w:p>
            <w:pPr>
              <w:spacing w:after="0"/>
              <w:rPr>
                <w:sz w:val="1"/>
                <w:szCs w:val="1"/>
                <w:color w:val="auto"/>
              </w:rPr>
            </w:pPr>
          </w:p>
        </w:tc>
      </w:tr>
      <w:tr>
        <w:trPr>
          <w:trHeight w:val="20"/>
        </w:trPr>
        <w:tc>
          <w:tcPr>
            <w:tcW w:w="69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62" w:lineRule="exact"/>
        <w:rPr>
          <w:sz w:val="20"/>
          <w:szCs w:val="20"/>
          <w:color w:val="auto"/>
        </w:rPr>
      </w:pPr>
    </w:p>
    <w:p>
      <w:pPr>
        <w:ind w:left="2480"/>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82"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680"/>
          </w:cols>
          <w:pgMar w:left="320" w:top="121" w:right="89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BRIGHTSPIRE CAPITAL,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16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following table presents assets and liabilities of securitization vehicles and certain real estate properties that have noncontrolling interests as variable interest entities for which the Company is determined to be the primary beneficiary.</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8100" w:type="dxa"/>
            <w:vAlign w:val="bottom"/>
          </w:tcPr>
          <w:p>
            <w:pPr>
              <w:spacing w:after="0"/>
              <w:rPr>
                <w:sz w:val="18"/>
                <w:szCs w:val="18"/>
                <w:color w:val="auto"/>
              </w:rPr>
            </w:pPr>
          </w:p>
        </w:tc>
        <w:tc>
          <w:tcPr>
            <w:tcW w:w="1620" w:type="dxa"/>
            <w:vAlign w:val="bottom"/>
            <w:gridSpan w:val="3"/>
          </w:tcPr>
          <w:p>
            <w:pPr>
              <w:ind w:left="80"/>
              <w:spacing w:after="0"/>
              <w:rPr>
                <w:sz w:val="20"/>
                <w:szCs w:val="20"/>
                <w:color w:val="auto"/>
              </w:rPr>
            </w:pPr>
            <w:r>
              <w:rPr>
                <w:rFonts w:ascii="Times New Roman" w:cs="Times New Roman" w:eastAsia="Times New Roman" w:hAnsi="Times New Roman"/>
                <w:sz w:val="16"/>
                <w:szCs w:val="16"/>
                <w:b w:val="1"/>
                <w:bCs w:val="1"/>
                <w:color w:val="auto"/>
              </w:rPr>
              <w:t>September 30, 2026</w:t>
            </w:r>
          </w:p>
        </w:tc>
        <w:tc>
          <w:tcPr>
            <w:tcW w:w="100" w:type="dxa"/>
            <w:vAlign w:val="bottom"/>
          </w:tcPr>
          <w:p>
            <w:pPr>
              <w:spacing w:after="0"/>
              <w:rPr>
                <w:sz w:val="18"/>
                <w:szCs w:val="18"/>
                <w:color w:val="auto"/>
              </w:rPr>
            </w:pPr>
          </w:p>
        </w:tc>
        <w:tc>
          <w:tcPr>
            <w:tcW w:w="1420" w:type="dxa"/>
            <w:vAlign w:val="bottom"/>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December 31, 2025</w:t>
            </w:r>
          </w:p>
        </w:tc>
        <w:tc>
          <w:tcPr>
            <w:tcW w:w="0" w:type="dxa"/>
            <w:vAlign w:val="bottom"/>
          </w:tcPr>
          <w:p>
            <w:pPr>
              <w:spacing w:after="0"/>
              <w:rPr>
                <w:sz w:val="1"/>
                <w:szCs w:val="1"/>
                <w:color w:val="auto"/>
              </w:rPr>
            </w:pPr>
          </w:p>
        </w:tc>
      </w:tr>
      <w:tr>
        <w:trPr>
          <w:trHeight w:val="213"/>
        </w:trPr>
        <w:tc>
          <w:tcPr>
            <w:tcW w:w="81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44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42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81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440" w:type="dxa"/>
            <w:vAlign w:val="bottom"/>
          </w:tcPr>
          <w:p>
            <w:pPr>
              <w:jc w:val="right"/>
              <w:ind w:right="25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1,861</w:t>
            </w:r>
          </w:p>
        </w:tc>
        <w:tc>
          <w:tcPr>
            <w:tcW w:w="10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1,461</w:t>
            </w:r>
          </w:p>
        </w:tc>
        <w:tc>
          <w:tcPr>
            <w:tcW w:w="0" w:type="dxa"/>
            <w:vAlign w:val="bottom"/>
          </w:tcPr>
          <w:p>
            <w:pPr>
              <w:spacing w:after="0"/>
              <w:rPr>
                <w:sz w:val="1"/>
                <w:szCs w:val="1"/>
                <w:color w:val="auto"/>
              </w:rPr>
            </w:pPr>
          </w:p>
        </w:tc>
      </w:tr>
      <w:tr>
        <w:trPr>
          <w:trHeight w:val="233"/>
        </w:trPr>
        <w:tc>
          <w:tcPr>
            <w:tcW w:w="81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Restricted cash</w:t>
            </w:r>
          </w:p>
        </w:tc>
        <w:tc>
          <w:tcPr>
            <w:tcW w:w="44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15,341</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9,149</w:t>
            </w:r>
          </w:p>
        </w:tc>
        <w:tc>
          <w:tcPr>
            <w:tcW w:w="0" w:type="dxa"/>
            <w:vAlign w:val="bottom"/>
          </w:tcPr>
          <w:p>
            <w:pPr>
              <w:spacing w:after="0"/>
              <w:rPr>
                <w:sz w:val="1"/>
                <w:szCs w:val="1"/>
                <w:color w:val="auto"/>
              </w:rPr>
            </w:pPr>
          </w:p>
        </w:tc>
      </w:tr>
      <w:tr>
        <w:trPr>
          <w:trHeight w:val="227"/>
        </w:trPr>
        <w:tc>
          <w:tcPr>
            <w:tcW w:w="81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Loans and preferred equity held for investment, net</w:t>
            </w:r>
          </w:p>
        </w:tc>
        <w:tc>
          <w:tcPr>
            <w:tcW w:w="4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1,565,318</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1,151,496</w:t>
            </w:r>
          </w:p>
        </w:tc>
        <w:tc>
          <w:tcPr>
            <w:tcW w:w="0" w:type="dxa"/>
            <w:vAlign w:val="bottom"/>
          </w:tcPr>
          <w:p>
            <w:pPr>
              <w:spacing w:after="0"/>
              <w:rPr>
                <w:sz w:val="1"/>
                <w:szCs w:val="1"/>
                <w:color w:val="auto"/>
              </w:rPr>
            </w:pPr>
          </w:p>
        </w:tc>
      </w:tr>
      <w:tr>
        <w:trPr>
          <w:trHeight w:val="232"/>
        </w:trPr>
        <w:tc>
          <w:tcPr>
            <w:tcW w:w="81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Real estate, net</w:t>
            </w:r>
          </w:p>
        </w:tc>
        <w:tc>
          <w:tcPr>
            <w:tcW w:w="44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114,866</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149,343</w:t>
            </w:r>
          </w:p>
        </w:tc>
        <w:tc>
          <w:tcPr>
            <w:tcW w:w="0" w:type="dxa"/>
            <w:vAlign w:val="bottom"/>
          </w:tcPr>
          <w:p>
            <w:pPr>
              <w:spacing w:after="0"/>
              <w:rPr>
                <w:sz w:val="1"/>
                <w:szCs w:val="1"/>
                <w:color w:val="auto"/>
              </w:rPr>
            </w:pPr>
          </w:p>
        </w:tc>
      </w:tr>
      <w:tr>
        <w:trPr>
          <w:trHeight w:val="227"/>
        </w:trPr>
        <w:tc>
          <w:tcPr>
            <w:tcW w:w="81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Receivables, net</w:t>
            </w:r>
          </w:p>
        </w:tc>
        <w:tc>
          <w:tcPr>
            <w:tcW w:w="4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19,183</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16,053</w:t>
            </w:r>
          </w:p>
        </w:tc>
        <w:tc>
          <w:tcPr>
            <w:tcW w:w="0" w:type="dxa"/>
            <w:vAlign w:val="bottom"/>
          </w:tcPr>
          <w:p>
            <w:pPr>
              <w:spacing w:after="0"/>
              <w:rPr>
                <w:sz w:val="1"/>
                <w:szCs w:val="1"/>
                <w:color w:val="auto"/>
              </w:rPr>
            </w:pPr>
          </w:p>
        </w:tc>
      </w:tr>
      <w:tr>
        <w:trPr>
          <w:trHeight w:val="233"/>
        </w:trPr>
        <w:tc>
          <w:tcPr>
            <w:tcW w:w="81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Deferred leasing costs and intangible assets, net</w:t>
            </w:r>
          </w:p>
        </w:tc>
        <w:tc>
          <w:tcPr>
            <w:tcW w:w="44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3,597</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3,544</w:t>
            </w:r>
          </w:p>
        </w:tc>
        <w:tc>
          <w:tcPr>
            <w:tcW w:w="0" w:type="dxa"/>
            <w:vAlign w:val="bottom"/>
          </w:tcPr>
          <w:p>
            <w:pPr>
              <w:spacing w:after="0"/>
              <w:rPr>
                <w:sz w:val="1"/>
                <w:szCs w:val="1"/>
                <w:color w:val="auto"/>
              </w:rPr>
            </w:pPr>
          </w:p>
        </w:tc>
      </w:tr>
      <w:tr>
        <w:trPr>
          <w:trHeight w:val="227"/>
        </w:trPr>
        <w:tc>
          <w:tcPr>
            <w:tcW w:w="810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6"/>
                <w:szCs w:val="16"/>
                <w:color w:val="auto"/>
              </w:rPr>
              <w:t>Other assets</w:t>
            </w:r>
          </w:p>
        </w:tc>
        <w:tc>
          <w:tcPr>
            <w:tcW w:w="4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21,501</w:t>
            </w:r>
          </w:p>
        </w:tc>
        <w:tc>
          <w:tcPr>
            <w:tcW w:w="10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23,970</w:t>
            </w:r>
          </w:p>
        </w:tc>
        <w:tc>
          <w:tcPr>
            <w:tcW w:w="0" w:type="dxa"/>
            <w:vAlign w:val="bottom"/>
          </w:tcPr>
          <w:p>
            <w:pPr>
              <w:spacing w:after="0"/>
              <w:rPr>
                <w:sz w:val="1"/>
                <w:szCs w:val="1"/>
                <w:color w:val="auto"/>
              </w:rPr>
            </w:pPr>
          </w:p>
        </w:tc>
      </w:tr>
      <w:tr>
        <w:trPr>
          <w:trHeight w:val="251"/>
        </w:trPr>
        <w:tc>
          <w:tcPr>
            <w:tcW w:w="8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Total assets</w:t>
            </w:r>
          </w:p>
        </w:tc>
        <w:tc>
          <w:tcPr>
            <w:tcW w:w="440" w:type="dxa"/>
            <w:vAlign w:val="bottom"/>
            <w:tcBorders>
              <w:bottom w:val="single" w:sz="8" w:color="auto"/>
            </w:tcBorders>
            <w:shd w:val="clear" w:color="auto" w:fill="CCEEFF"/>
          </w:tcPr>
          <w:p>
            <w:pPr>
              <w:jc w:val="right"/>
              <w:ind w:right="25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1,741,667</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1,355,016</w:t>
            </w:r>
          </w:p>
        </w:tc>
        <w:tc>
          <w:tcPr>
            <w:tcW w:w="0" w:type="dxa"/>
            <w:vAlign w:val="bottom"/>
          </w:tcPr>
          <w:p>
            <w:pPr>
              <w:spacing w:after="0"/>
              <w:rPr>
                <w:sz w:val="1"/>
                <w:szCs w:val="1"/>
                <w:color w:val="auto"/>
              </w:rPr>
            </w:pPr>
          </w:p>
        </w:tc>
      </w:tr>
      <w:tr>
        <w:trPr>
          <w:trHeight w:val="20"/>
        </w:trPr>
        <w:tc>
          <w:tcPr>
            <w:tcW w:w="810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Liabilities</w:t>
            </w: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4"/>
        </w:trPr>
        <w:tc>
          <w:tcPr>
            <w:tcW w:w="8100" w:type="dxa"/>
            <w:vAlign w:val="bottom"/>
            <w:vMerge w:val="continue"/>
          </w:tcPr>
          <w:p>
            <w:pPr>
              <w:spacing w:after="0"/>
              <w:rPr>
                <w:sz w:val="15"/>
                <w:szCs w:val="15"/>
                <w:color w:val="auto"/>
              </w:rPr>
            </w:pPr>
          </w:p>
        </w:tc>
        <w:tc>
          <w:tcPr>
            <w:tcW w:w="4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2"/>
        </w:trPr>
        <w:tc>
          <w:tcPr>
            <w:tcW w:w="81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Securitization bonds payable, net</w:t>
            </w:r>
          </w:p>
        </w:tc>
        <w:tc>
          <w:tcPr>
            <w:tcW w:w="440" w:type="dxa"/>
            <w:vAlign w:val="bottom"/>
            <w:shd w:val="clear" w:color="auto" w:fill="CCEEFF"/>
          </w:tcPr>
          <w:p>
            <w:pPr>
              <w:jc w:val="right"/>
              <w:ind w:right="25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1,362,731</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977,082</w:t>
            </w:r>
          </w:p>
        </w:tc>
        <w:tc>
          <w:tcPr>
            <w:tcW w:w="0" w:type="dxa"/>
            <w:vAlign w:val="bottom"/>
          </w:tcPr>
          <w:p>
            <w:pPr>
              <w:spacing w:after="0"/>
              <w:rPr>
                <w:sz w:val="1"/>
                <w:szCs w:val="1"/>
                <w:color w:val="auto"/>
              </w:rPr>
            </w:pPr>
          </w:p>
        </w:tc>
      </w:tr>
      <w:tr>
        <w:trPr>
          <w:trHeight w:val="227"/>
        </w:trPr>
        <w:tc>
          <w:tcPr>
            <w:tcW w:w="81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Mortgage and other notes payable, net</w:t>
            </w:r>
          </w:p>
        </w:tc>
        <w:tc>
          <w:tcPr>
            <w:tcW w:w="4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94,666</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96,348</w:t>
            </w:r>
          </w:p>
        </w:tc>
        <w:tc>
          <w:tcPr>
            <w:tcW w:w="0" w:type="dxa"/>
            <w:vAlign w:val="bottom"/>
          </w:tcPr>
          <w:p>
            <w:pPr>
              <w:spacing w:after="0"/>
              <w:rPr>
                <w:sz w:val="1"/>
                <w:szCs w:val="1"/>
                <w:color w:val="auto"/>
              </w:rPr>
            </w:pPr>
          </w:p>
        </w:tc>
      </w:tr>
      <w:tr>
        <w:trPr>
          <w:trHeight w:val="233"/>
        </w:trPr>
        <w:tc>
          <w:tcPr>
            <w:tcW w:w="81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Credit facilities</w:t>
            </w:r>
          </w:p>
        </w:tc>
        <w:tc>
          <w:tcPr>
            <w:tcW w:w="44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25,866</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45,145</w:t>
            </w:r>
          </w:p>
        </w:tc>
        <w:tc>
          <w:tcPr>
            <w:tcW w:w="0" w:type="dxa"/>
            <w:vAlign w:val="bottom"/>
          </w:tcPr>
          <w:p>
            <w:pPr>
              <w:spacing w:after="0"/>
              <w:rPr>
                <w:sz w:val="1"/>
                <w:szCs w:val="1"/>
                <w:color w:val="auto"/>
              </w:rPr>
            </w:pPr>
          </w:p>
        </w:tc>
      </w:tr>
      <w:tr>
        <w:trPr>
          <w:trHeight w:val="227"/>
        </w:trPr>
        <w:tc>
          <w:tcPr>
            <w:tcW w:w="81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Accrued and other liabilities</w:t>
            </w:r>
          </w:p>
        </w:tc>
        <w:tc>
          <w:tcPr>
            <w:tcW w:w="4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11,613</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8,074</w:t>
            </w:r>
          </w:p>
        </w:tc>
        <w:tc>
          <w:tcPr>
            <w:tcW w:w="0" w:type="dxa"/>
            <w:vAlign w:val="bottom"/>
          </w:tcPr>
          <w:p>
            <w:pPr>
              <w:spacing w:after="0"/>
              <w:rPr>
                <w:sz w:val="1"/>
                <w:szCs w:val="1"/>
                <w:color w:val="auto"/>
              </w:rPr>
            </w:pPr>
          </w:p>
        </w:tc>
      </w:tr>
      <w:tr>
        <w:trPr>
          <w:trHeight w:val="230"/>
        </w:trPr>
        <w:tc>
          <w:tcPr>
            <w:tcW w:w="81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Escrow deposits payable</w:t>
            </w:r>
          </w:p>
        </w:tc>
        <w:tc>
          <w:tcPr>
            <w:tcW w:w="4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4,224</w:t>
            </w:r>
          </w:p>
        </w:tc>
        <w:tc>
          <w:tcPr>
            <w:tcW w:w="10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3,354</w:t>
            </w:r>
          </w:p>
        </w:tc>
        <w:tc>
          <w:tcPr>
            <w:tcW w:w="0" w:type="dxa"/>
            <w:vAlign w:val="bottom"/>
          </w:tcPr>
          <w:p>
            <w:pPr>
              <w:spacing w:after="0"/>
              <w:rPr>
                <w:sz w:val="1"/>
                <w:szCs w:val="1"/>
                <w:color w:val="auto"/>
              </w:rPr>
            </w:pPr>
          </w:p>
        </w:tc>
      </w:tr>
      <w:tr>
        <w:trPr>
          <w:trHeight w:val="226"/>
        </w:trPr>
        <w:tc>
          <w:tcPr>
            <w:tcW w:w="810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Total liabilities</w:t>
            </w:r>
          </w:p>
        </w:tc>
        <w:tc>
          <w:tcPr>
            <w:tcW w:w="440" w:type="dxa"/>
            <w:vAlign w:val="bottom"/>
            <w:tcBorders>
              <w:bottom w:val="single" w:sz="8" w:color="auto"/>
            </w:tcBorders>
          </w:tcPr>
          <w:p>
            <w:pPr>
              <w:jc w:val="right"/>
              <w:ind w:right="25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1,499,100</w:t>
            </w:r>
          </w:p>
        </w:tc>
        <w:tc>
          <w:tcPr>
            <w:tcW w:w="10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1,130,003</w:t>
            </w:r>
          </w:p>
        </w:tc>
        <w:tc>
          <w:tcPr>
            <w:tcW w:w="0" w:type="dxa"/>
            <w:vAlign w:val="bottom"/>
          </w:tcPr>
          <w:p>
            <w:pPr>
              <w:spacing w:after="0"/>
              <w:rPr>
                <w:sz w:val="1"/>
                <w:szCs w:val="1"/>
                <w:color w:val="auto"/>
              </w:rPr>
            </w:pPr>
          </w:p>
        </w:tc>
      </w:tr>
      <w:tr>
        <w:trPr>
          <w:trHeight w:val="21"/>
        </w:trPr>
        <w:tc>
          <w:tcPr>
            <w:tcW w:w="8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BRIGHTSPIRE CAPITAL,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w:t>
      </w:r>
    </w:p>
    <w:p>
      <w:pPr>
        <w:spacing w:after="0" w:line="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Per Share Data)</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4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760" w:type="dxa"/>
            <w:vAlign w:val="bottom"/>
            <w:gridSpan w:val="5"/>
          </w:tcPr>
          <w:p>
            <w:pPr>
              <w:ind w:left="12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240" w:type="dxa"/>
            <w:vAlign w:val="bottom"/>
          </w:tcPr>
          <w:p>
            <w:pPr>
              <w:spacing w:after="0"/>
              <w:rPr>
                <w:sz w:val="16"/>
                <w:szCs w:val="16"/>
                <w:color w:val="auto"/>
              </w:rPr>
            </w:pPr>
          </w:p>
        </w:tc>
        <w:tc>
          <w:tcPr>
            <w:tcW w:w="2640" w:type="dxa"/>
            <w:vAlign w:val="bottom"/>
            <w:gridSpan w:val="4"/>
          </w:tcPr>
          <w:p>
            <w:pPr>
              <w:jc w:val="right"/>
              <w:ind w:right="279"/>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0" w:type="dxa"/>
            <w:vAlign w:val="bottom"/>
          </w:tcPr>
          <w:p>
            <w:pPr>
              <w:spacing w:after="0"/>
              <w:rPr>
                <w:sz w:val="1"/>
                <w:szCs w:val="1"/>
                <w:color w:val="auto"/>
              </w:rPr>
            </w:pPr>
          </w:p>
        </w:tc>
      </w:tr>
      <w:tr>
        <w:trPr>
          <w:trHeight w:val="23"/>
        </w:trPr>
        <w:tc>
          <w:tcPr>
            <w:tcW w:w="54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54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80" w:type="dxa"/>
            <w:vAlign w:val="bottom"/>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60" w:type="dxa"/>
            <w:vAlign w:val="bottom"/>
          </w:tcPr>
          <w:p>
            <w:pPr>
              <w:jc w:val="right"/>
              <w:ind w:right="459"/>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60" w:type="dxa"/>
            <w:vAlign w:val="bottom"/>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2026</w:t>
            </w: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60" w:type="dxa"/>
            <w:vAlign w:val="bottom"/>
          </w:tcPr>
          <w:p>
            <w:pPr>
              <w:jc w:val="right"/>
              <w:ind w:right="479"/>
              <w:spacing w:after="0"/>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23"/>
        </w:trPr>
        <w:tc>
          <w:tcPr>
            <w:tcW w:w="54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5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Net interest income</w:t>
            </w:r>
          </w:p>
        </w:tc>
        <w:tc>
          <w:tcPr>
            <w:tcW w:w="2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54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Interest income</w:t>
            </w: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56,168</w:t>
            </w:r>
          </w:p>
        </w:tc>
        <w:tc>
          <w:tcPr>
            <w:tcW w:w="100" w:type="dxa"/>
            <w:vAlign w:val="bottom"/>
          </w:tcPr>
          <w:p>
            <w:pPr>
              <w:spacing w:after="0"/>
              <w:rPr>
                <w:sz w:val="19"/>
                <w:szCs w:val="19"/>
                <w:color w:val="auto"/>
              </w:rPr>
            </w:pPr>
          </w:p>
        </w:tc>
        <w:tc>
          <w:tcPr>
            <w:tcW w:w="32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48,889</w:t>
            </w:r>
          </w:p>
        </w:tc>
        <w:tc>
          <w:tcPr>
            <w:tcW w:w="100" w:type="dxa"/>
            <w:vAlign w:val="bottom"/>
          </w:tcPr>
          <w:p>
            <w:pPr>
              <w:spacing w:after="0"/>
              <w:rPr>
                <w:sz w:val="19"/>
                <w:szCs w:val="19"/>
                <w:color w:val="auto"/>
              </w:rPr>
            </w:pP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157,760</w:t>
            </w:r>
          </w:p>
        </w:tc>
        <w:tc>
          <w:tcPr>
            <w:tcW w:w="80" w:type="dxa"/>
            <w:vAlign w:val="bottom"/>
          </w:tcPr>
          <w:p>
            <w:pPr>
              <w:spacing w:after="0"/>
              <w:rPr>
                <w:sz w:val="19"/>
                <w:szCs w:val="19"/>
                <w:color w:val="auto"/>
              </w:rPr>
            </w:pPr>
          </w:p>
        </w:tc>
        <w:tc>
          <w:tcPr>
            <w:tcW w:w="3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145,638</w:t>
            </w:r>
          </w:p>
        </w:tc>
        <w:tc>
          <w:tcPr>
            <w:tcW w:w="0" w:type="dxa"/>
            <w:vAlign w:val="bottom"/>
          </w:tcPr>
          <w:p>
            <w:pPr>
              <w:spacing w:after="0"/>
              <w:rPr>
                <w:sz w:val="1"/>
                <w:szCs w:val="1"/>
                <w:color w:val="auto"/>
              </w:rPr>
            </w:pPr>
          </w:p>
        </w:tc>
      </w:tr>
      <w:tr>
        <w:trPr>
          <w:trHeight w:val="233"/>
        </w:trPr>
        <w:tc>
          <w:tcPr>
            <w:tcW w:w="5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Interest expense</w:t>
            </w:r>
          </w:p>
        </w:tc>
        <w:tc>
          <w:tcPr>
            <w:tcW w:w="200" w:type="dxa"/>
            <w:vAlign w:val="bottom"/>
            <w:tcBorders>
              <w:bottom w:val="single" w:sz="8" w:color="auto"/>
            </w:tcBorders>
            <w:shd w:val="clear" w:color="auto" w:fill="CCEEFF"/>
          </w:tcPr>
          <w:p>
            <w:pPr>
              <w:spacing w:after="0"/>
              <w:rPr>
                <w:sz w:val="20"/>
                <w:szCs w:val="20"/>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(37,905)</w:t>
            </w:r>
          </w:p>
        </w:tc>
        <w:tc>
          <w:tcPr>
            <w:tcW w:w="100" w:type="dxa"/>
            <w:vAlign w:val="bottom"/>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spacing w:after="0"/>
              <w:rPr>
                <w:sz w:val="20"/>
                <w:szCs w:val="20"/>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(31,364)</w:t>
            </w:r>
          </w:p>
        </w:tc>
        <w:tc>
          <w:tcPr>
            <w:tcW w:w="100" w:type="dxa"/>
            <w:vAlign w:val="bottom"/>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(106,146)</w:t>
            </w:r>
          </w:p>
        </w:tc>
        <w:tc>
          <w:tcPr>
            <w:tcW w:w="80" w:type="dxa"/>
            <w:vAlign w:val="bottom"/>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spacing w:after="0"/>
              <w:rPr>
                <w:sz w:val="20"/>
                <w:szCs w:val="20"/>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(95,510)</w:t>
            </w:r>
          </w:p>
        </w:tc>
        <w:tc>
          <w:tcPr>
            <w:tcW w:w="0" w:type="dxa"/>
            <w:vAlign w:val="bottom"/>
          </w:tcPr>
          <w:p>
            <w:pPr>
              <w:spacing w:after="0"/>
              <w:rPr>
                <w:sz w:val="1"/>
                <w:szCs w:val="1"/>
                <w:color w:val="auto"/>
              </w:rPr>
            </w:pPr>
          </w:p>
        </w:tc>
      </w:tr>
      <w:tr>
        <w:trPr>
          <w:trHeight w:val="220"/>
        </w:trPr>
        <w:tc>
          <w:tcPr>
            <w:tcW w:w="54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Net interest income</w:t>
            </w:r>
          </w:p>
        </w:tc>
        <w:tc>
          <w:tcPr>
            <w:tcW w:w="2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18,263</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17,525</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51,614</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50,128</w:t>
            </w:r>
          </w:p>
        </w:tc>
        <w:tc>
          <w:tcPr>
            <w:tcW w:w="0" w:type="dxa"/>
            <w:vAlign w:val="bottom"/>
          </w:tcPr>
          <w:p>
            <w:pPr>
              <w:spacing w:after="0"/>
              <w:rPr>
                <w:sz w:val="1"/>
                <w:szCs w:val="1"/>
                <w:color w:val="auto"/>
              </w:rPr>
            </w:pPr>
          </w:p>
        </w:tc>
      </w:tr>
      <w:tr>
        <w:trPr>
          <w:trHeight w:val="273"/>
        </w:trPr>
        <w:tc>
          <w:tcPr>
            <w:tcW w:w="54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1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16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27"/>
        </w:trPr>
        <w:tc>
          <w:tcPr>
            <w:tcW w:w="540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Property and other income</w:t>
            </w:r>
          </w:p>
        </w:tc>
        <w:tc>
          <w:tcPr>
            <w:tcW w:w="2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5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Property operating income</w:t>
            </w:r>
          </w:p>
        </w:tc>
        <w:tc>
          <w:tcPr>
            <w:tcW w:w="200" w:type="dxa"/>
            <w:vAlign w:val="bottom"/>
            <w:shd w:val="clear" w:color="auto" w:fill="CCEEFF"/>
          </w:tcPr>
          <w:p>
            <w:pPr>
              <w:spacing w:after="0"/>
              <w:rPr>
                <w:sz w:val="20"/>
                <w:szCs w:val="20"/>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30,837</w:t>
            </w: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32,536</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93,923</w:t>
            </w:r>
          </w:p>
        </w:tc>
        <w:tc>
          <w:tcPr>
            <w:tcW w:w="8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95,063</w:t>
            </w:r>
          </w:p>
        </w:tc>
        <w:tc>
          <w:tcPr>
            <w:tcW w:w="0" w:type="dxa"/>
            <w:vAlign w:val="bottom"/>
          </w:tcPr>
          <w:p>
            <w:pPr>
              <w:spacing w:after="0"/>
              <w:rPr>
                <w:sz w:val="1"/>
                <w:szCs w:val="1"/>
                <w:color w:val="auto"/>
              </w:rPr>
            </w:pPr>
          </w:p>
        </w:tc>
      </w:tr>
      <w:tr>
        <w:trPr>
          <w:trHeight w:val="227"/>
        </w:trPr>
        <w:tc>
          <w:tcPr>
            <w:tcW w:w="54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Other income</w:t>
            </w:r>
          </w:p>
        </w:tc>
        <w:tc>
          <w:tcPr>
            <w:tcW w:w="2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350</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2,513</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4,360</w:t>
            </w:r>
          </w:p>
        </w:tc>
        <w:tc>
          <w:tcPr>
            <w:tcW w:w="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6,724</w:t>
            </w:r>
          </w:p>
        </w:tc>
        <w:tc>
          <w:tcPr>
            <w:tcW w:w="0" w:type="dxa"/>
            <w:vAlign w:val="bottom"/>
          </w:tcPr>
          <w:p>
            <w:pPr>
              <w:spacing w:after="0"/>
              <w:rPr>
                <w:sz w:val="1"/>
                <w:szCs w:val="1"/>
                <w:color w:val="auto"/>
              </w:rPr>
            </w:pPr>
          </w:p>
        </w:tc>
      </w:tr>
      <w:tr>
        <w:trPr>
          <w:trHeight w:val="226"/>
        </w:trPr>
        <w:tc>
          <w:tcPr>
            <w:tcW w:w="54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Total property and other income</w:t>
            </w:r>
          </w:p>
        </w:tc>
        <w:tc>
          <w:tcPr>
            <w:tcW w:w="2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31,187</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35,049</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98,283</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101,787</w:t>
            </w:r>
          </w:p>
        </w:tc>
        <w:tc>
          <w:tcPr>
            <w:tcW w:w="0" w:type="dxa"/>
            <w:vAlign w:val="bottom"/>
          </w:tcPr>
          <w:p>
            <w:pPr>
              <w:spacing w:after="0"/>
              <w:rPr>
                <w:sz w:val="1"/>
                <w:szCs w:val="1"/>
                <w:color w:val="auto"/>
              </w:rPr>
            </w:pPr>
          </w:p>
        </w:tc>
      </w:tr>
      <w:tr>
        <w:trPr>
          <w:trHeight w:val="270"/>
        </w:trPr>
        <w:tc>
          <w:tcPr>
            <w:tcW w:w="54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9"/>
        </w:trPr>
        <w:tc>
          <w:tcPr>
            <w:tcW w:w="5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Expenses</w:t>
            </w:r>
          </w:p>
        </w:tc>
        <w:tc>
          <w:tcPr>
            <w:tcW w:w="2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54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Property operating expense</w:t>
            </w:r>
          </w:p>
        </w:tc>
        <w:tc>
          <w:tcPr>
            <w:tcW w:w="2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19,161</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19,675</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57,750</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46,293</w:t>
            </w:r>
          </w:p>
        </w:tc>
        <w:tc>
          <w:tcPr>
            <w:tcW w:w="0" w:type="dxa"/>
            <w:vAlign w:val="bottom"/>
          </w:tcPr>
          <w:p>
            <w:pPr>
              <w:spacing w:after="0"/>
              <w:rPr>
                <w:sz w:val="1"/>
                <w:szCs w:val="1"/>
                <w:color w:val="auto"/>
              </w:rPr>
            </w:pPr>
          </w:p>
        </w:tc>
      </w:tr>
      <w:tr>
        <w:trPr>
          <w:trHeight w:val="233"/>
        </w:trPr>
        <w:tc>
          <w:tcPr>
            <w:tcW w:w="5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Transaction, investment and servicing expense</w:t>
            </w:r>
          </w:p>
        </w:tc>
        <w:tc>
          <w:tcPr>
            <w:tcW w:w="200" w:type="dxa"/>
            <w:vAlign w:val="bottom"/>
            <w:shd w:val="clear" w:color="auto" w:fill="CCEEFF"/>
          </w:tcPr>
          <w:p>
            <w:pPr>
              <w:spacing w:after="0"/>
              <w:rPr>
                <w:sz w:val="20"/>
                <w:szCs w:val="20"/>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1,380</w:t>
            </w: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854</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3,719</w:t>
            </w:r>
          </w:p>
        </w:tc>
        <w:tc>
          <w:tcPr>
            <w:tcW w:w="8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2,046</w:t>
            </w:r>
          </w:p>
        </w:tc>
        <w:tc>
          <w:tcPr>
            <w:tcW w:w="0" w:type="dxa"/>
            <w:vAlign w:val="bottom"/>
          </w:tcPr>
          <w:p>
            <w:pPr>
              <w:spacing w:after="0"/>
              <w:rPr>
                <w:sz w:val="1"/>
                <w:szCs w:val="1"/>
                <w:color w:val="auto"/>
              </w:rPr>
            </w:pPr>
          </w:p>
        </w:tc>
      </w:tr>
      <w:tr>
        <w:trPr>
          <w:trHeight w:val="227"/>
        </w:trPr>
        <w:tc>
          <w:tcPr>
            <w:tcW w:w="54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Interest expense on real estate</w:t>
            </w:r>
          </w:p>
        </w:tc>
        <w:tc>
          <w:tcPr>
            <w:tcW w:w="2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4,655</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5,170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14,868</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18,499</w:t>
            </w:r>
          </w:p>
        </w:tc>
        <w:tc>
          <w:tcPr>
            <w:tcW w:w="0" w:type="dxa"/>
            <w:vAlign w:val="bottom"/>
          </w:tcPr>
          <w:p>
            <w:pPr>
              <w:spacing w:after="0"/>
              <w:rPr>
                <w:sz w:val="1"/>
                <w:szCs w:val="1"/>
                <w:color w:val="auto"/>
              </w:rPr>
            </w:pPr>
          </w:p>
        </w:tc>
      </w:tr>
      <w:tr>
        <w:trPr>
          <w:trHeight w:val="232"/>
        </w:trPr>
        <w:tc>
          <w:tcPr>
            <w:tcW w:w="5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200" w:type="dxa"/>
            <w:vAlign w:val="bottom"/>
            <w:shd w:val="clear" w:color="auto" w:fill="CCEEFF"/>
          </w:tcPr>
          <w:p>
            <w:pPr>
              <w:spacing w:after="0"/>
              <w:rPr>
                <w:sz w:val="20"/>
                <w:szCs w:val="20"/>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4,084</w:t>
            </w: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7,188</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20,897</w:t>
            </w:r>
          </w:p>
        </w:tc>
        <w:tc>
          <w:tcPr>
            <w:tcW w:w="8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28,346</w:t>
            </w:r>
          </w:p>
        </w:tc>
        <w:tc>
          <w:tcPr>
            <w:tcW w:w="0" w:type="dxa"/>
            <w:vAlign w:val="bottom"/>
          </w:tcPr>
          <w:p>
            <w:pPr>
              <w:spacing w:after="0"/>
              <w:rPr>
                <w:sz w:val="1"/>
                <w:szCs w:val="1"/>
                <w:color w:val="auto"/>
              </w:rPr>
            </w:pPr>
          </w:p>
        </w:tc>
      </w:tr>
      <w:tr>
        <w:trPr>
          <w:trHeight w:val="227"/>
        </w:trPr>
        <w:tc>
          <w:tcPr>
            <w:tcW w:w="54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Increase of current expected credit loss reserve</w:t>
            </w:r>
          </w:p>
        </w:tc>
        <w:tc>
          <w:tcPr>
            <w:tcW w:w="2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15,039</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8,215</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30,286</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8,562</w:t>
            </w:r>
          </w:p>
        </w:tc>
        <w:tc>
          <w:tcPr>
            <w:tcW w:w="0" w:type="dxa"/>
            <w:vAlign w:val="bottom"/>
          </w:tcPr>
          <w:p>
            <w:pPr>
              <w:spacing w:after="0"/>
              <w:rPr>
                <w:sz w:val="1"/>
                <w:szCs w:val="1"/>
                <w:color w:val="auto"/>
              </w:rPr>
            </w:pPr>
          </w:p>
        </w:tc>
      </w:tr>
      <w:tr>
        <w:trPr>
          <w:trHeight w:val="232"/>
        </w:trPr>
        <w:tc>
          <w:tcPr>
            <w:tcW w:w="5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Impairment of operating real estate</w:t>
            </w:r>
          </w:p>
        </w:tc>
        <w:tc>
          <w:tcPr>
            <w:tcW w:w="200" w:type="dxa"/>
            <w:vAlign w:val="bottom"/>
            <w:shd w:val="clear" w:color="auto" w:fill="CCEEFF"/>
          </w:tcPr>
          <w:p>
            <w:pPr>
              <w:spacing w:after="0"/>
              <w:rPr>
                <w:sz w:val="20"/>
                <w:szCs w:val="20"/>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5,986</w:t>
            </w: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2,509</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15,256</w:t>
            </w:r>
          </w:p>
        </w:tc>
        <w:tc>
          <w:tcPr>
            <w:tcW w:w="8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53,636</w:t>
            </w:r>
          </w:p>
        </w:tc>
        <w:tc>
          <w:tcPr>
            <w:tcW w:w="0" w:type="dxa"/>
            <w:vAlign w:val="bottom"/>
          </w:tcPr>
          <w:p>
            <w:pPr>
              <w:spacing w:after="0"/>
              <w:rPr>
                <w:sz w:val="1"/>
                <w:szCs w:val="1"/>
                <w:color w:val="auto"/>
              </w:rPr>
            </w:pPr>
          </w:p>
        </w:tc>
      </w:tr>
      <w:tr>
        <w:trPr>
          <w:trHeight w:val="175"/>
        </w:trPr>
        <w:tc>
          <w:tcPr>
            <w:tcW w:w="5400" w:type="dxa"/>
            <w:vAlign w:val="bottom"/>
          </w:tcPr>
          <w:p>
            <w:pPr>
              <w:ind w:left="20"/>
              <w:spacing w:after="0" w:line="175" w:lineRule="exact"/>
              <w:rPr>
                <w:sz w:val="20"/>
                <w:szCs w:val="20"/>
                <w:color w:val="auto"/>
              </w:rPr>
            </w:pPr>
            <w:r>
              <w:rPr>
                <w:rFonts w:ascii="Times New Roman" w:cs="Times New Roman" w:eastAsia="Times New Roman" w:hAnsi="Times New Roman"/>
                <w:sz w:val="16"/>
                <w:szCs w:val="16"/>
                <w:color w:val="auto"/>
              </w:rPr>
              <w:t>Compensation and benefits (including $3,581, $2,794, $9,942, and $9,920 of</w:t>
            </w:r>
          </w:p>
        </w:tc>
        <w:tc>
          <w:tcPr>
            <w:tcW w:w="200" w:type="dxa"/>
            <w:vAlign w:val="bottom"/>
          </w:tcPr>
          <w:p>
            <w:pPr>
              <w:spacing w:after="0"/>
              <w:rPr>
                <w:sz w:val="15"/>
                <w:szCs w:val="15"/>
                <w:color w:val="auto"/>
              </w:rPr>
            </w:pPr>
          </w:p>
        </w:tc>
        <w:tc>
          <w:tcPr>
            <w:tcW w:w="11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9,197</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8,077</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27,242</w:t>
            </w: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26,700</w:t>
            </w:r>
          </w:p>
        </w:tc>
        <w:tc>
          <w:tcPr>
            <w:tcW w:w="0" w:type="dxa"/>
            <w:vAlign w:val="bottom"/>
          </w:tcPr>
          <w:p>
            <w:pPr>
              <w:spacing w:after="0"/>
              <w:rPr>
                <w:sz w:val="1"/>
                <w:szCs w:val="1"/>
                <w:color w:val="auto"/>
              </w:rPr>
            </w:pPr>
          </w:p>
        </w:tc>
      </w:tr>
      <w:tr>
        <w:trPr>
          <w:trHeight w:val="213"/>
        </w:trPr>
        <w:tc>
          <w:tcPr>
            <w:tcW w:w="54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equity-based compensation expense, respectively)</w:t>
            </w:r>
          </w:p>
        </w:tc>
        <w:tc>
          <w:tcPr>
            <w:tcW w:w="200" w:type="dxa"/>
            <w:vAlign w:val="bottom"/>
          </w:tcPr>
          <w:p>
            <w:pPr>
              <w:spacing w:after="0"/>
              <w:rPr>
                <w:sz w:val="18"/>
                <w:szCs w:val="18"/>
                <w:color w:val="auto"/>
              </w:rPr>
            </w:pPr>
          </w:p>
        </w:tc>
        <w:tc>
          <w:tcPr>
            <w:tcW w:w="11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2"/>
        </w:trPr>
        <w:tc>
          <w:tcPr>
            <w:tcW w:w="5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Operating expense</w:t>
            </w:r>
          </w:p>
        </w:tc>
        <w:tc>
          <w:tcPr>
            <w:tcW w:w="200" w:type="dxa"/>
            <w:vAlign w:val="bottom"/>
            <w:tcBorders>
              <w:bottom w:val="single" w:sz="8" w:color="auto"/>
            </w:tcBorders>
            <w:shd w:val="clear" w:color="auto" w:fill="CCEEFF"/>
          </w:tcPr>
          <w:p>
            <w:pPr>
              <w:spacing w:after="0"/>
              <w:rPr>
                <w:sz w:val="20"/>
                <w:szCs w:val="20"/>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3,055</w:t>
            </w:r>
          </w:p>
        </w:tc>
        <w:tc>
          <w:tcPr>
            <w:tcW w:w="100" w:type="dxa"/>
            <w:vAlign w:val="bottom"/>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spacing w:after="0"/>
              <w:rPr>
                <w:sz w:val="20"/>
                <w:szCs w:val="20"/>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2,857</w:t>
            </w:r>
          </w:p>
        </w:tc>
        <w:tc>
          <w:tcPr>
            <w:tcW w:w="100" w:type="dxa"/>
            <w:vAlign w:val="bottom"/>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9,308</w:t>
            </w:r>
          </w:p>
        </w:tc>
        <w:tc>
          <w:tcPr>
            <w:tcW w:w="80" w:type="dxa"/>
            <w:vAlign w:val="bottom"/>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spacing w:after="0"/>
              <w:rPr>
                <w:sz w:val="20"/>
                <w:szCs w:val="20"/>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9,048</w:t>
            </w:r>
          </w:p>
        </w:tc>
        <w:tc>
          <w:tcPr>
            <w:tcW w:w="0" w:type="dxa"/>
            <w:vAlign w:val="bottom"/>
          </w:tcPr>
          <w:p>
            <w:pPr>
              <w:spacing w:after="0"/>
              <w:rPr>
                <w:sz w:val="1"/>
                <w:szCs w:val="1"/>
                <w:color w:val="auto"/>
              </w:rPr>
            </w:pPr>
          </w:p>
        </w:tc>
      </w:tr>
      <w:tr>
        <w:trPr>
          <w:trHeight w:val="220"/>
        </w:trPr>
        <w:tc>
          <w:tcPr>
            <w:tcW w:w="54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Total expenses</w:t>
            </w:r>
          </w:p>
        </w:tc>
        <w:tc>
          <w:tcPr>
            <w:tcW w:w="2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62,557</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54,545</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179,326</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193,130</w:t>
            </w:r>
          </w:p>
        </w:tc>
        <w:tc>
          <w:tcPr>
            <w:tcW w:w="0" w:type="dxa"/>
            <w:vAlign w:val="bottom"/>
          </w:tcPr>
          <w:p>
            <w:pPr>
              <w:spacing w:after="0"/>
              <w:rPr>
                <w:sz w:val="1"/>
                <w:szCs w:val="1"/>
                <w:color w:val="auto"/>
              </w:rPr>
            </w:pPr>
          </w:p>
        </w:tc>
      </w:tr>
      <w:tr>
        <w:trPr>
          <w:trHeight w:val="273"/>
        </w:trPr>
        <w:tc>
          <w:tcPr>
            <w:tcW w:w="54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1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16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26"/>
        </w:trPr>
        <w:tc>
          <w:tcPr>
            <w:tcW w:w="540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Other income (loss)</w:t>
            </w:r>
          </w:p>
        </w:tc>
        <w:tc>
          <w:tcPr>
            <w:tcW w:w="2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5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gain (loss), net</w:t>
            </w:r>
          </w:p>
        </w:tc>
        <w:tc>
          <w:tcPr>
            <w:tcW w:w="200" w:type="dxa"/>
            <w:vAlign w:val="bottom"/>
            <w:tcBorders>
              <w:bottom w:val="single" w:sz="8" w:color="auto"/>
            </w:tcBorders>
            <w:shd w:val="clear" w:color="auto" w:fill="CCEEFF"/>
          </w:tcPr>
          <w:p>
            <w:pPr>
              <w:spacing w:after="0"/>
              <w:rPr>
                <w:sz w:val="20"/>
                <w:szCs w:val="20"/>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60,322</w:t>
            </w:r>
          </w:p>
        </w:tc>
        <w:tc>
          <w:tcPr>
            <w:tcW w:w="100" w:type="dxa"/>
            <w:vAlign w:val="bottom"/>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spacing w:after="0"/>
              <w:rPr>
                <w:sz w:val="20"/>
                <w:szCs w:val="20"/>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538</w:t>
            </w:r>
          </w:p>
        </w:tc>
        <w:tc>
          <w:tcPr>
            <w:tcW w:w="100" w:type="dxa"/>
            <w:vAlign w:val="bottom"/>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60,291</w:t>
            </w:r>
          </w:p>
        </w:tc>
        <w:tc>
          <w:tcPr>
            <w:tcW w:w="80" w:type="dxa"/>
            <w:vAlign w:val="bottom"/>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spacing w:after="0"/>
              <w:rPr>
                <w:sz w:val="20"/>
                <w:szCs w:val="20"/>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(3,065)</w:t>
            </w:r>
          </w:p>
        </w:tc>
        <w:tc>
          <w:tcPr>
            <w:tcW w:w="0" w:type="dxa"/>
            <w:vAlign w:val="bottom"/>
          </w:tcPr>
          <w:p>
            <w:pPr>
              <w:spacing w:after="0"/>
              <w:rPr>
                <w:sz w:val="1"/>
                <w:szCs w:val="1"/>
                <w:color w:val="auto"/>
              </w:rPr>
            </w:pPr>
          </w:p>
        </w:tc>
      </w:tr>
      <w:tr>
        <w:trPr>
          <w:trHeight w:val="155"/>
        </w:trPr>
        <w:tc>
          <w:tcPr>
            <w:tcW w:w="5400" w:type="dxa"/>
            <w:vAlign w:val="bottom"/>
          </w:tcPr>
          <w:p>
            <w:pPr>
              <w:ind w:left="20"/>
              <w:spacing w:after="0" w:line="155" w:lineRule="exact"/>
              <w:rPr>
                <w:sz w:val="20"/>
                <w:szCs w:val="20"/>
                <w:color w:val="auto"/>
              </w:rPr>
            </w:pPr>
            <w:r>
              <w:rPr>
                <w:rFonts w:ascii="Times New Roman" w:cs="Times New Roman" w:eastAsia="Times New Roman" w:hAnsi="Times New Roman"/>
                <w:sz w:val="16"/>
                <w:szCs w:val="16"/>
                <w:b w:val="1"/>
                <w:bCs w:val="1"/>
                <w:color w:val="auto"/>
              </w:rPr>
              <w:t>Income (loss) before equity in earnings of unconsolidated ventures and</w:t>
            </w:r>
          </w:p>
        </w:tc>
        <w:tc>
          <w:tcPr>
            <w:tcW w:w="200" w:type="dxa"/>
            <w:vAlign w:val="bottom"/>
          </w:tcPr>
          <w:p>
            <w:pPr>
              <w:spacing w:after="0"/>
              <w:rPr>
                <w:sz w:val="13"/>
                <w:szCs w:val="13"/>
                <w:color w:val="auto"/>
              </w:rPr>
            </w:pPr>
          </w:p>
        </w:tc>
        <w:tc>
          <w:tcPr>
            <w:tcW w:w="11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47,215</w:t>
            </w: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(1,433)</w:t>
            </w: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30,862</w:t>
            </w: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(44,280)</w:t>
            </w:r>
          </w:p>
        </w:tc>
        <w:tc>
          <w:tcPr>
            <w:tcW w:w="0" w:type="dxa"/>
            <w:vAlign w:val="bottom"/>
          </w:tcPr>
          <w:p>
            <w:pPr>
              <w:spacing w:after="0"/>
              <w:rPr>
                <w:sz w:val="1"/>
                <w:szCs w:val="1"/>
                <w:color w:val="auto"/>
              </w:rPr>
            </w:pPr>
          </w:p>
        </w:tc>
      </w:tr>
      <w:tr>
        <w:trPr>
          <w:trHeight w:val="214"/>
        </w:trPr>
        <w:tc>
          <w:tcPr>
            <w:tcW w:w="540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income (loss) taxes</w:t>
            </w:r>
          </w:p>
        </w:tc>
        <w:tc>
          <w:tcPr>
            <w:tcW w:w="200" w:type="dxa"/>
            <w:vAlign w:val="bottom"/>
          </w:tcPr>
          <w:p>
            <w:pPr>
              <w:spacing w:after="0"/>
              <w:rPr>
                <w:sz w:val="18"/>
                <w:szCs w:val="18"/>
                <w:color w:val="auto"/>
              </w:rPr>
            </w:pPr>
          </w:p>
        </w:tc>
        <w:tc>
          <w:tcPr>
            <w:tcW w:w="11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1"/>
        </w:trPr>
        <w:tc>
          <w:tcPr>
            <w:tcW w:w="5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Equity in earnings (loss) of unconsolidated ventures</w:t>
            </w:r>
          </w:p>
        </w:tc>
        <w:tc>
          <w:tcPr>
            <w:tcW w:w="200" w:type="dxa"/>
            <w:vAlign w:val="bottom"/>
            <w:shd w:val="clear" w:color="auto" w:fill="CCEEFF"/>
          </w:tcPr>
          <w:p>
            <w:pPr>
              <w:spacing w:after="0"/>
              <w:rPr>
                <w:sz w:val="20"/>
                <w:szCs w:val="20"/>
                <w:color w:val="auto"/>
              </w:rPr>
            </w:pPr>
          </w:p>
        </w:tc>
        <w:tc>
          <w:tcPr>
            <w:tcW w:w="1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20"/>
                <w:szCs w:val="20"/>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(602)</w:t>
            </w:r>
          </w:p>
        </w:tc>
        <w:tc>
          <w:tcPr>
            <w:tcW w:w="8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27"/>
        </w:trPr>
        <w:tc>
          <w:tcPr>
            <w:tcW w:w="54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Income tax benefit (expense)</w:t>
            </w:r>
          </w:p>
        </w:tc>
        <w:tc>
          <w:tcPr>
            <w:tcW w:w="2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129</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(85)</w:t>
            </w:r>
          </w:p>
        </w:tc>
        <w:tc>
          <w:tcPr>
            <w:tcW w:w="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21,511</w:t>
            </w:r>
          </w:p>
        </w:tc>
        <w:tc>
          <w:tcPr>
            <w:tcW w:w="0" w:type="dxa"/>
            <w:vAlign w:val="bottom"/>
          </w:tcPr>
          <w:p>
            <w:pPr>
              <w:spacing w:after="0"/>
              <w:rPr>
                <w:sz w:val="1"/>
                <w:szCs w:val="1"/>
                <w:color w:val="auto"/>
              </w:rPr>
            </w:pPr>
          </w:p>
        </w:tc>
      </w:tr>
      <w:tr>
        <w:trPr>
          <w:trHeight w:val="226"/>
        </w:trPr>
        <w:tc>
          <w:tcPr>
            <w:tcW w:w="5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Net income (loss)</w:t>
            </w:r>
          </w:p>
        </w:tc>
        <w:tc>
          <w:tcPr>
            <w:tcW w:w="2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47,234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(1,304)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30,175</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(22,769)</w:t>
            </w:r>
          </w:p>
        </w:tc>
        <w:tc>
          <w:tcPr>
            <w:tcW w:w="0" w:type="dxa"/>
            <w:vAlign w:val="bottom"/>
          </w:tcPr>
          <w:p>
            <w:pPr>
              <w:spacing w:after="0"/>
              <w:rPr>
                <w:sz w:val="1"/>
                <w:szCs w:val="1"/>
                <w:color w:val="auto"/>
              </w:rPr>
            </w:pPr>
          </w:p>
        </w:tc>
      </w:tr>
      <w:tr>
        <w:trPr>
          <w:trHeight w:val="227"/>
        </w:trPr>
        <w:tc>
          <w:tcPr>
            <w:tcW w:w="54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Net income (loss) attributable to noncontrolling interests in investment entities</w:t>
            </w:r>
          </w:p>
        </w:tc>
        <w:tc>
          <w:tcPr>
            <w:tcW w:w="2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(300)</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2,288</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3,272</w:t>
            </w:r>
          </w:p>
        </w:tc>
        <w:tc>
          <w:tcPr>
            <w:tcW w:w="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5,976</w:t>
            </w:r>
          </w:p>
        </w:tc>
        <w:tc>
          <w:tcPr>
            <w:tcW w:w="0" w:type="dxa"/>
            <w:vAlign w:val="bottom"/>
          </w:tcPr>
          <w:p>
            <w:pPr>
              <w:spacing w:after="0"/>
              <w:rPr>
                <w:sz w:val="1"/>
                <w:szCs w:val="1"/>
                <w:color w:val="auto"/>
              </w:rPr>
            </w:pPr>
          </w:p>
        </w:tc>
      </w:tr>
      <w:tr>
        <w:trPr>
          <w:trHeight w:val="158"/>
        </w:trPr>
        <w:tc>
          <w:tcPr>
            <w:tcW w:w="5400" w:type="dxa"/>
            <w:vAlign w:val="bottom"/>
            <w:shd w:val="clear" w:color="auto" w:fill="CCEEFF"/>
          </w:tcPr>
          <w:p>
            <w:pPr>
              <w:ind w:left="20"/>
              <w:spacing w:after="0" w:line="158" w:lineRule="exact"/>
              <w:rPr>
                <w:sz w:val="20"/>
                <w:szCs w:val="20"/>
                <w:color w:val="auto"/>
              </w:rPr>
            </w:pPr>
            <w:r>
              <w:rPr>
                <w:rFonts w:ascii="Times New Roman" w:cs="Times New Roman" w:eastAsia="Times New Roman" w:hAnsi="Times New Roman"/>
                <w:sz w:val="16"/>
                <w:szCs w:val="16"/>
                <w:b w:val="1"/>
                <w:bCs w:val="1"/>
                <w:color w:val="auto"/>
              </w:rPr>
              <w:t>Net income (loss) attributable to BrightSpire Capital, Inc. common</w:t>
            </w:r>
          </w:p>
        </w:tc>
        <w:tc>
          <w:tcPr>
            <w:tcW w:w="200" w:type="dxa"/>
            <w:vAlign w:val="bottom"/>
            <w:vMerge w:val="restart"/>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46,934</w:t>
            </w:r>
          </w:p>
        </w:tc>
        <w:tc>
          <w:tcPr>
            <w:tcW w:w="100" w:type="dxa"/>
            <w:vAlign w:val="bottom"/>
            <w:shd w:val="clear" w:color="auto" w:fill="CCEEFF"/>
          </w:tcPr>
          <w:p>
            <w:pPr>
              <w:spacing w:after="0"/>
              <w:rPr>
                <w:sz w:val="13"/>
                <w:szCs w:val="13"/>
                <w:color w:val="auto"/>
              </w:rPr>
            </w:pPr>
          </w:p>
        </w:tc>
        <w:tc>
          <w:tcPr>
            <w:tcW w:w="320" w:type="dxa"/>
            <w:vAlign w:val="bottom"/>
            <w:vMerge w:val="restart"/>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984</w:t>
            </w:r>
          </w:p>
        </w:tc>
        <w:tc>
          <w:tcPr>
            <w:tcW w:w="100" w:type="dxa"/>
            <w:vAlign w:val="bottom"/>
            <w:shd w:val="clear" w:color="auto" w:fill="CCEEFF"/>
          </w:tcPr>
          <w:p>
            <w:pPr>
              <w:spacing w:after="0"/>
              <w:rPr>
                <w:sz w:val="13"/>
                <w:szCs w:val="13"/>
                <w:color w:val="auto"/>
              </w:rPr>
            </w:pPr>
          </w:p>
        </w:tc>
        <w:tc>
          <w:tcPr>
            <w:tcW w:w="240" w:type="dxa"/>
            <w:vAlign w:val="bottom"/>
            <w:vMerge w:val="restart"/>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33,447</w:t>
            </w:r>
          </w:p>
        </w:tc>
        <w:tc>
          <w:tcPr>
            <w:tcW w:w="80" w:type="dxa"/>
            <w:vAlign w:val="bottom"/>
            <w:shd w:val="clear" w:color="auto" w:fill="CCEEFF"/>
          </w:tcPr>
          <w:p>
            <w:pPr>
              <w:spacing w:after="0"/>
              <w:rPr>
                <w:sz w:val="13"/>
                <w:szCs w:val="13"/>
                <w:color w:val="auto"/>
              </w:rPr>
            </w:pPr>
          </w:p>
        </w:tc>
        <w:tc>
          <w:tcPr>
            <w:tcW w:w="340" w:type="dxa"/>
            <w:vAlign w:val="bottom"/>
            <w:vMerge w:val="restart"/>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(16,793)</w:t>
            </w:r>
          </w:p>
        </w:tc>
        <w:tc>
          <w:tcPr>
            <w:tcW w:w="0" w:type="dxa"/>
            <w:vAlign w:val="bottom"/>
          </w:tcPr>
          <w:p>
            <w:pPr>
              <w:spacing w:after="0"/>
              <w:rPr>
                <w:sz w:val="1"/>
                <w:szCs w:val="1"/>
                <w:color w:val="auto"/>
              </w:rPr>
            </w:pPr>
          </w:p>
        </w:tc>
      </w:tr>
      <w:tr>
        <w:trPr>
          <w:trHeight w:val="209"/>
        </w:trPr>
        <w:tc>
          <w:tcPr>
            <w:tcW w:w="54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stockholders</w:t>
            </w:r>
          </w:p>
        </w:tc>
        <w:tc>
          <w:tcPr>
            <w:tcW w:w="200" w:type="dxa"/>
            <w:vAlign w:val="bottom"/>
            <w:tcBorders>
              <w:bottom w:val="single" w:sz="8" w:color="auto"/>
            </w:tcBorders>
            <w:vMerge w:val="continue"/>
            <w:shd w:val="clear" w:color="auto" w:fill="CCEEFF"/>
          </w:tcPr>
          <w:p>
            <w:pPr>
              <w:spacing w:after="0"/>
              <w:rPr>
                <w:sz w:val="18"/>
                <w:szCs w:val="18"/>
                <w:color w:val="auto"/>
              </w:rPr>
            </w:pPr>
          </w:p>
        </w:tc>
        <w:tc>
          <w:tcPr>
            <w:tcW w:w="118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vMerge w:val="continue"/>
            <w:shd w:val="clear" w:color="auto" w:fill="CCEEFF"/>
          </w:tcPr>
          <w:p>
            <w:pPr>
              <w:spacing w:after="0"/>
              <w:rPr>
                <w:sz w:val="18"/>
                <w:szCs w:val="18"/>
                <w:color w:val="auto"/>
              </w:rPr>
            </w:pPr>
          </w:p>
        </w:tc>
        <w:tc>
          <w:tcPr>
            <w:tcW w:w="106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vMerge w:val="continue"/>
            <w:shd w:val="clear" w:color="auto" w:fill="CCEEFF"/>
          </w:tcPr>
          <w:p>
            <w:pPr>
              <w:spacing w:after="0"/>
              <w:rPr>
                <w:sz w:val="18"/>
                <w:szCs w:val="18"/>
                <w:color w:val="auto"/>
              </w:rPr>
            </w:pPr>
          </w:p>
        </w:tc>
        <w:tc>
          <w:tcPr>
            <w:tcW w:w="1160" w:type="dxa"/>
            <w:vAlign w:val="bottom"/>
            <w:tcBorders>
              <w:bottom w:val="single" w:sz="8" w:color="auto"/>
            </w:tcBorders>
            <w:vMerge w:val="continue"/>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vMerge w:val="continue"/>
            <w:shd w:val="clear" w:color="auto" w:fill="CCEEFF"/>
          </w:tcPr>
          <w:p>
            <w:pPr>
              <w:spacing w:after="0"/>
              <w:rPr>
                <w:sz w:val="18"/>
                <w:szCs w:val="18"/>
                <w:color w:val="auto"/>
              </w:rPr>
            </w:pPr>
          </w:p>
        </w:tc>
        <w:tc>
          <w:tcPr>
            <w:tcW w:w="1060" w:type="dxa"/>
            <w:vAlign w:val="bottom"/>
            <w:tcBorders>
              <w:bottom w:val="single" w:sz="8" w:color="auto"/>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4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5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4"/>
        </w:trPr>
        <w:tc>
          <w:tcPr>
            <w:tcW w:w="54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 xml:space="preserve">Net income (loss) per common share - basic </w:t>
            </w:r>
            <w:r>
              <w:rPr>
                <w:rFonts w:ascii="Times New Roman" w:cs="Times New Roman" w:eastAsia="Times New Roman" w:hAnsi="Times New Roman"/>
                <w:sz w:val="16"/>
                <w:szCs w:val="16"/>
                <w:color w:val="auto"/>
              </w:rPr>
              <w:t>(Note 14)</w:t>
            </w: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0.37</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0.00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0.25</w:t>
            </w: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(0.14)</w:t>
            </w:r>
          </w:p>
        </w:tc>
        <w:tc>
          <w:tcPr>
            <w:tcW w:w="0" w:type="dxa"/>
            <w:vAlign w:val="bottom"/>
          </w:tcPr>
          <w:p>
            <w:pPr>
              <w:spacing w:after="0"/>
              <w:rPr>
                <w:sz w:val="1"/>
                <w:szCs w:val="1"/>
                <w:color w:val="auto"/>
              </w:rPr>
            </w:pPr>
          </w:p>
        </w:tc>
      </w:tr>
      <w:tr>
        <w:trPr>
          <w:trHeight w:val="20"/>
        </w:trPr>
        <w:tc>
          <w:tcPr>
            <w:tcW w:w="540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 xml:space="preserve">Net income (loss) per common share - diluted </w:t>
            </w:r>
            <w:r>
              <w:rPr>
                <w:rFonts w:ascii="Times New Roman" w:cs="Times New Roman" w:eastAsia="Times New Roman" w:hAnsi="Times New Roman"/>
                <w:sz w:val="16"/>
                <w:szCs w:val="16"/>
                <w:color w:val="auto"/>
              </w:rPr>
              <w:t>(Note 14)</w:t>
            </w: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0"/>
        </w:trPr>
        <w:tc>
          <w:tcPr>
            <w:tcW w:w="5400" w:type="dxa"/>
            <w:vAlign w:val="bottom"/>
            <w:vMerge w:val="continue"/>
          </w:tcPr>
          <w:p>
            <w:pPr>
              <w:spacing w:after="0"/>
              <w:rPr>
                <w:sz w:val="17"/>
                <w:szCs w:val="17"/>
                <w:color w:val="auto"/>
              </w:rPr>
            </w:pPr>
          </w:p>
        </w:tc>
        <w:tc>
          <w:tcPr>
            <w:tcW w:w="2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0.37</w:t>
            </w:r>
          </w:p>
        </w:tc>
        <w:tc>
          <w:tcPr>
            <w:tcW w:w="100" w:type="dxa"/>
            <w:vAlign w:val="bottom"/>
          </w:tcPr>
          <w:p>
            <w:pPr>
              <w:spacing w:after="0"/>
              <w:rPr>
                <w:sz w:val="17"/>
                <w:szCs w:val="17"/>
                <w:color w:val="auto"/>
              </w:rPr>
            </w:pPr>
          </w:p>
        </w:tc>
        <w:tc>
          <w:tcPr>
            <w:tcW w:w="32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0.00</w:t>
            </w:r>
          </w:p>
        </w:tc>
        <w:tc>
          <w:tcPr>
            <w:tcW w:w="100" w:type="dxa"/>
            <w:vAlign w:val="bottom"/>
          </w:tcPr>
          <w:p>
            <w:pPr>
              <w:spacing w:after="0"/>
              <w:rPr>
                <w:sz w:val="17"/>
                <w:szCs w:val="17"/>
                <w:color w:val="auto"/>
              </w:rPr>
            </w:pPr>
          </w:p>
        </w:tc>
        <w:tc>
          <w:tcPr>
            <w:tcW w:w="24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0.25</w:t>
            </w:r>
          </w:p>
        </w:tc>
        <w:tc>
          <w:tcPr>
            <w:tcW w:w="80" w:type="dxa"/>
            <w:vAlign w:val="bottom"/>
          </w:tcPr>
          <w:p>
            <w:pPr>
              <w:spacing w:after="0"/>
              <w:rPr>
                <w:sz w:val="17"/>
                <w:szCs w:val="17"/>
                <w:color w:val="auto"/>
              </w:rPr>
            </w:pPr>
          </w:p>
        </w:tc>
        <w:tc>
          <w:tcPr>
            <w:tcW w:w="34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(0.14)</w:t>
            </w:r>
          </w:p>
        </w:tc>
        <w:tc>
          <w:tcPr>
            <w:tcW w:w="0" w:type="dxa"/>
            <w:vAlign w:val="bottom"/>
          </w:tcPr>
          <w:p>
            <w:pPr>
              <w:spacing w:after="0"/>
              <w:rPr>
                <w:sz w:val="1"/>
                <w:szCs w:val="1"/>
                <w:color w:val="auto"/>
              </w:rPr>
            </w:pPr>
          </w:p>
        </w:tc>
      </w:tr>
      <w:tr>
        <w:trPr>
          <w:trHeight w:val="20"/>
        </w:trPr>
        <w:tc>
          <w:tcPr>
            <w:tcW w:w="54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0"/>
        </w:trPr>
        <w:tc>
          <w:tcPr>
            <w:tcW w:w="54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540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 xml:space="preserve">Weighted average shares of common stock outstanding - basic </w:t>
            </w:r>
            <w:r>
              <w:rPr>
                <w:rFonts w:ascii="Times New Roman" w:cs="Times New Roman" w:eastAsia="Times New Roman" w:hAnsi="Times New Roman"/>
                <w:sz w:val="16"/>
                <w:szCs w:val="16"/>
                <w:color w:val="auto"/>
              </w:rPr>
              <w:t>(Note 14)</w:t>
            </w:r>
          </w:p>
        </w:tc>
        <w:tc>
          <w:tcPr>
            <w:tcW w:w="2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122,318</w:t>
            </w:r>
          </w:p>
        </w:tc>
        <w:tc>
          <w:tcPr>
            <w:tcW w:w="10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126,940</w:t>
            </w:r>
          </w:p>
        </w:tc>
        <w:tc>
          <w:tcPr>
            <w:tcW w:w="1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124,974</w:t>
            </w:r>
          </w:p>
        </w:tc>
        <w:tc>
          <w:tcPr>
            <w:tcW w:w="8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127,089</w:t>
            </w:r>
          </w:p>
        </w:tc>
        <w:tc>
          <w:tcPr>
            <w:tcW w:w="0" w:type="dxa"/>
            <w:vAlign w:val="bottom"/>
          </w:tcPr>
          <w:p>
            <w:pPr>
              <w:spacing w:after="0"/>
              <w:rPr>
                <w:sz w:val="1"/>
                <w:szCs w:val="1"/>
                <w:color w:val="auto"/>
              </w:rPr>
            </w:pPr>
          </w:p>
        </w:tc>
      </w:tr>
      <w:tr>
        <w:trPr>
          <w:trHeight w:val="20"/>
        </w:trPr>
        <w:tc>
          <w:tcPr>
            <w:tcW w:w="54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54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 xml:space="preserve">Weighted average shares of common stock outstanding - diluted </w:t>
            </w:r>
            <w:r>
              <w:rPr>
                <w:rFonts w:ascii="Times New Roman" w:cs="Times New Roman" w:eastAsia="Times New Roman" w:hAnsi="Times New Roman"/>
                <w:sz w:val="16"/>
                <w:szCs w:val="16"/>
                <w:color w:val="auto"/>
              </w:rPr>
              <w:t>(Note 14)</w:t>
            </w:r>
          </w:p>
        </w:tc>
        <w:tc>
          <w:tcPr>
            <w:tcW w:w="200" w:type="dxa"/>
            <w:vAlign w:val="bottom"/>
            <w:tcBorders>
              <w:bottom w:val="single" w:sz="8" w:color="auto"/>
            </w:tcBorders>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122,900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129,845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125,953</w:t>
            </w: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127,089</w:t>
            </w:r>
          </w:p>
        </w:tc>
        <w:tc>
          <w:tcPr>
            <w:tcW w:w="0" w:type="dxa"/>
            <w:vAlign w:val="bottom"/>
          </w:tcPr>
          <w:p>
            <w:pPr>
              <w:spacing w:after="0"/>
              <w:rPr>
                <w:sz w:val="1"/>
                <w:szCs w:val="1"/>
                <w:color w:val="auto"/>
              </w:rPr>
            </w:pPr>
          </w:p>
        </w:tc>
      </w:tr>
      <w:tr>
        <w:trPr>
          <w:trHeight w:val="20"/>
        </w:trPr>
        <w:tc>
          <w:tcPr>
            <w:tcW w:w="54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BRIGHTSPIRE CAPITAL,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COMPREHENSIVE INCOME</w:t>
      </w:r>
    </w:p>
    <w:p>
      <w:pPr>
        <w:spacing w:after="0" w:line="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400" w:type="dxa"/>
            <w:vAlign w:val="bottom"/>
          </w:tcPr>
          <w:p>
            <w:pPr>
              <w:spacing w:after="0"/>
              <w:rPr>
                <w:sz w:val="16"/>
                <w:szCs w:val="16"/>
                <w:color w:val="auto"/>
              </w:rPr>
            </w:pPr>
          </w:p>
        </w:tc>
        <w:tc>
          <w:tcPr>
            <w:tcW w:w="2960" w:type="dxa"/>
            <w:vAlign w:val="bottom"/>
            <w:gridSpan w:val="6"/>
          </w:tcPr>
          <w:p>
            <w:pPr>
              <w:ind w:left="32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240" w:type="dxa"/>
            <w:vAlign w:val="bottom"/>
          </w:tcPr>
          <w:p>
            <w:pPr>
              <w:spacing w:after="0"/>
              <w:rPr>
                <w:sz w:val="16"/>
                <w:szCs w:val="16"/>
                <w:color w:val="auto"/>
              </w:rPr>
            </w:pPr>
          </w:p>
        </w:tc>
        <w:tc>
          <w:tcPr>
            <w:tcW w:w="2640" w:type="dxa"/>
            <w:vAlign w:val="bottom"/>
            <w:gridSpan w:val="4"/>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23"/>
        </w:trPr>
        <w:tc>
          <w:tcPr>
            <w:tcW w:w="540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186"/>
        </w:trPr>
        <w:tc>
          <w:tcPr>
            <w:tcW w:w="540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2026</w:t>
            </w: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60" w:type="dxa"/>
            <w:vAlign w:val="bottom"/>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60" w:type="dxa"/>
            <w:vAlign w:val="bottom"/>
          </w:tcPr>
          <w:p>
            <w:pPr>
              <w:jc w:val="right"/>
              <w:ind w:right="481"/>
              <w:spacing w:after="0"/>
              <w:rPr>
                <w:sz w:val="20"/>
                <w:szCs w:val="20"/>
                <w:color w:val="auto"/>
              </w:rPr>
            </w:pPr>
            <w:r>
              <w:rPr>
                <w:rFonts w:ascii="Times New Roman" w:cs="Times New Roman" w:eastAsia="Times New Roman" w:hAnsi="Times New Roman"/>
                <w:sz w:val="14"/>
                <w:szCs w:val="14"/>
                <w:b w:val="1"/>
                <w:bCs w:val="1"/>
                <w:color w:val="auto"/>
              </w:rPr>
              <w:t>2026</w:t>
            </w: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60" w:type="dxa"/>
            <w:vAlign w:val="bottom"/>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23"/>
        </w:trPr>
        <w:tc>
          <w:tcPr>
            <w:tcW w:w="540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23"/>
        </w:trPr>
        <w:tc>
          <w:tcPr>
            <w:tcW w:w="5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Net income (loss)</w:t>
            </w:r>
          </w:p>
        </w:tc>
        <w:tc>
          <w:tcPr>
            <w:tcW w:w="860" w:type="dxa"/>
            <w:vAlign w:val="bottom"/>
            <w:shd w:val="clear" w:color="auto" w:fill="CCEEFF"/>
          </w:tcPr>
          <w:p>
            <w:pPr>
              <w:jc w:val="right"/>
              <w:ind w:right="684"/>
              <w:spacing w:after="0"/>
              <w:rPr>
                <w:sz w:val="20"/>
                <w:szCs w:val="20"/>
                <w:color w:val="auto"/>
              </w:rPr>
            </w:pPr>
            <w:r>
              <w:rPr>
                <w:rFonts w:ascii="Times New Roman" w:cs="Times New Roman" w:eastAsia="Times New Roman" w:hAnsi="Times New Roman"/>
                <w:sz w:val="16"/>
                <w:szCs w:val="16"/>
                <w:color w:val="auto"/>
                <w:w w:val="99"/>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47,234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(1,304)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30,175</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(22,769)</w:t>
            </w:r>
          </w:p>
        </w:tc>
      </w:tr>
      <w:tr>
        <w:trPr>
          <w:trHeight w:val="227"/>
        </w:trPr>
        <w:tc>
          <w:tcPr>
            <w:tcW w:w="540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Other comprehensive income (loss)</w:t>
            </w:r>
          </w:p>
        </w:tc>
        <w:tc>
          <w:tcPr>
            <w:tcW w:w="8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spacing w:after="0"/>
              <w:rPr>
                <w:sz w:val="19"/>
                <w:szCs w:val="19"/>
                <w:color w:val="auto"/>
              </w:rPr>
            </w:pPr>
          </w:p>
        </w:tc>
      </w:tr>
      <w:tr>
        <w:trPr>
          <w:trHeight w:val="232"/>
        </w:trPr>
        <w:tc>
          <w:tcPr>
            <w:tcW w:w="54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Reclassification of net investment hedges to other gain (loss)</w:t>
            </w:r>
          </w:p>
        </w:tc>
        <w:tc>
          <w:tcPr>
            <w:tcW w:w="860" w:type="dxa"/>
            <w:vAlign w:val="bottom"/>
            <w:shd w:val="clear" w:color="auto" w:fill="CCEEFF"/>
          </w:tcPr>
          <w:p>
            <w:pPr>
              <w:spacing w:after="0"/>
              <w:rPr>
                <w:sz w:val="20"/>
                <w:szCs w:val="20"/>
                <w:color w:val="auto"/>
              </w:rPr>
            </w:pPr>
          </w:p>
        </w:tc>
        <w:tc>
          <w:tcPr>
            <w:tcW w:w="6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(18,603)</w:t>
            </w:r>
          </w:p>
        </w:tc>
      </w:tr>
      <w:tr>
        <w:trPr>
          <w:trHeight w:val="227"/>
        </w:trPr>
        <w:tc>
          <w:tcPr>
            <w:tcW w:w="54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Foreign currency translation gain</w:t>
            </w:r>
          </w:p>
        </w:tc>
        <w:tc>
          <w:tcPr>
            <w:tcW w:w="86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24,940</w:t>
            </w:r>
          </w:p>
        </w:tc>
      </w:tr>
      <w:tr>
        <w:trPr>
          <w:trHeight w:val="226"/>
        </w:trPr>
        <w:tc>
          <w:tcPr>
            <w:tcW w:w="5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Total other comprehensive income</w:t>
            </w:r>
          </w:p>
        </w:tc>
        <w:tc>
          <w:tcPr>
            <w:tcW w:w="860" w:type="dxa"/>
            <w:vAlign w:val="bottom"/>
            <w:shd w:val="clear" w:color="auto" w:fill="CCEEFF"/>
          </w:tcPr>
          <w:p>
            <w:pPr>
              <w:spacing w:after="0"/>
              <w:rPr>
                <w:sz w:val="19"/>
                <w:szCs w:val="19"/>
                <w:color w:val="auto"/>
              </w:rPr>
            </w:pPr>
          </w:p>
        </w:tc>
        <w:tc>
          <w:tcPr>
            <w:tcW w:w="6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6,337</w:t>
            </w:r>
          </w:p>
        </w:tc>
      </w:tr>
      <w:tr>
        <w:trPr>
          <w:trHeight w:val="220"/>
        </w:trPr>
        <w:tc>
          <w:tcPr>
            <w:tcW w:w="540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Comprehensive income (loss)</w:t>
            </w:r>
          </w:p>
        </w:tc>
        <w:tc>
          <w:tcPr>
            <w:tcW w:w="860" w:type="dxa"/>
            <w:vAlign w:val="bottom"/>
            <w:tcBorders>
              <w:top w:val="single" w:sz="8" w:color="auto"/>
            </w:tcBorders>
          </w:tcPr>
          <w:p>
            <w:pPr>
              <w:spacing w:after="0"/>
              <w:rPr>
                <w:sz w:val="19"/>
                <w:szCs w:val="19"/>
                <w:color w:val="auto"/>
              </w:rPr>
            </w:pPr>
          </w:p>
        </w:tc>
        <w:tc>
          <w:tcPr>
            <w:tcW w:w="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47,234</w:t>
            </w:r>
          </w:p>
        </w:tc>
        <w:tc>
          <w:tcPr>
            <w:tcW w:w="10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(1,304)</w:t>
            </w:r>
          </w:p>
        </w:tc>
        <w:tc>
          <w:tcPr>
            <w:tcW w:w="10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30,175</w:t>
            </w:r>
          </w:p>
        </w:tc>
        <w:tc>
          <w:tcPr>
            <w:tcW w:w="8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(16,432)</w:t>
            </w:r>
          </w:p>
        </w:tc>
      </w:tr>
      <w:tr>
        <w:trPr>
          <w:trHeight w:val="232"/>
        </w:trPr>
        <w:tc>
          <w:tcPr>
            <w:tcW w:w="5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Comprehensive (income) loss attributable to noncontrolling interests:</w:t>
            </w:r>
          </w:p>
        </w:tc>
        <w:tc>
          <w:tcPr>
            <w:tcW w:w="86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r>
      <w:tr>
        <w:trPr>
          <w:trHeight w:val="227"/>
        </w:trPr>
        <w:tc>
          <w:tcPr>
            <w:tcW w:w="54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Investment entities</w:t>
            </w:r>
          </w:p>
        </w:tc>
        <w:tc>
          <w:tcPr>
            <w:tcW w:w="86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(300)</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2,288</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3,272</w:t>
            </w:r>
          </w:p>
        </w:tc>
        <w:tc>
          <w:tcPr>
            <w:tcW w:w="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5,976</w:t>
            </w:r>
          </w:p>
        </w:tc>
      </w:tr>
      <w:tr>
        <w:trPr>
          <w:trHeight w:val="251"/>
        </w:trPr>
        <w:tc>
          <w:tcPr>
            <w:tcW w:w="54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Comprehensive income (loss) attributable to common stockholders</w:t>
            </w:r>
          </w:p>
        </w:tc>
        <w:tc>
          <w:tcPr>
            <w:tcW w:w="860" w:type="dxa"/>
            <w:vAlign w:val="bottom"/>
            <w:tcBorders>
              <w:bottom w:val="single" w:sz="8" w:color="auto"/>
            </w:tcBorders>
            <w:shd w:val="clear" w:color="auto" w:fill="CCEEFF"/>
          </w:tcPr>
          <w:p>
            <w:pPr>
              <w:jc w:val="right"/>
              <w:ind w:right="684"/>
              <w:spacing w:after="0"/>
              <w:rPr>
                <w:sz w:val="20"/>
                <w:szCs w:val="20"/>
                <w:color w:val="auto"/>
              </w:rPr>
            </w:pPr>
            <w:r>
              <w:rPr>
                <w:rFonts w:ascii="Times New Roman" w:cs="Times New Roman" w:eastAsia="Times New Roman" w:hAnsi="Times New Roman"/>
                <w:sz w:val="16"/>
                <w:szCs w:val="16"/>
                <w:color w:val="auto"/>
                <w:w w:val="99"/>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46,934</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984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33,447</w:t>
            </w: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(10,456)</w:t>
            </w:r>
          </w:p>
        </w:tc>
      </w:tr>
      <w:tr>
        <w:trPr>
          <w:trHeight w:val="20"/>
        </w:trPr>
        <w:tc>
          <w:tcPr>
            <w:tcW w:w="540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BRIGHTSPIRE CAPITAL, INC.</w:t>
      </w:r>
    </w:p>
    <w:p>
      <w:pPr>
        <w:spacing w:after="0" w:line="31"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CONSOLIDATED STATEMENTS OF EQUITY</w:t>
      </w:r>
    </w:p>
    <w:p>
      <w:pPr>
        <w:spacing w:after="0" w:line="9"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9"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302" w:lineRule="exact"/>
        <w:rPr>
          <w:sz w:val="20"/>
          <w:szCs w:val="20"/>
          <w:color w:val="auto"/>
        </w:rPr>
      </w:pPr>
    </w:p>
    <w:tbl>
      <w:tblPr>
        <w:tblLayout w:type="fixed"/>
        <w:tblInd w:w="240" w:type="dxa"/>
        <w:tblCellMar>
          <w:top w:w="0" w:type="dxa"/>
          <w:left w:w="0" w:type="dxa"/>
          <w:bottom w:w="0" w:type="dxa"/>
          <w:right w:w="0" w:type="dxa"/>
        </w:tblCellMar>
      </w:tblPr>
      <w:tr>
        <w:trPr>
          <w:trHeight w:val="210"/>
        </w:trPr>
        <w:tc>
          <w:tcPr>
            <w:tcW w:w="3460" w:type="dxa"/>
            <w:vAlign w:val="bottom"/>
          </w:tcPr>
          <w:p>
            <w:pPr>
              <w:spacing w:after="0"/>
              <w:rPr>
                <w:sz w:val="18"/>
                <w:szCs w:val="18"/>
                <w:color w:val="auto"/>
              </w:rPr>
            </w:pPr>
          </w:p>
        </w:tc>
        <w:tc>
          <w:tcPr>
            <w:tcW w:w="1740" w:type="dxa"/>
            <w:vAlign w:val="bottom"/>
            <w:gridSpan w:val="5"/>
          </w:tcPr>
          <w:p>
            <w:pPr>
              <w:ind w:left="400"/>
              <w:spacing w:after="0"/>
              <w:rPr>
                <w:sz w:val="20"/>
                <w:szCs w:val="20"/>
                <w:color w:val="auto"/>
              </w:rPr>
            </w:pPr>
            <w:r>
              <w:rPr>
                <w:rFonts w:ascii="Times New Roman" w:cs="Times New Roman" w:eastAsia="Times New Roman" w:hAnsi="Times New Roman"/>
                <w:sz w:val="13"/>
                <w:szCs w:val="13"/>
                <w:b w:val="1"/>
                <w:bCs w:val="1"/>
                <w:color w:val="auto"/>
              </w:rPr>
              <w:t>Common Stock</w:t>
            </w: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720" w:type="dxa"/>
            <w:vAlign w:val="bottom"/>
            <w:tcBorders>
              <w:top w:val="single" w:sz="8" w:color="auto"/>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700" w:type="dxa"/>
            <w:vAlign w:val="bottom"/>
            <w:tcBorders>
              <w:top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48"/>
        </w:trPr>
        <w:tc>
          <w:tcPr>
            <w:tcW w:w="3460" w:type="dxa"/>
            <w:vAlign w:val="bottom"/>
          </w:tcPr>
          <w:p>
            <w:pPr>
              <w:spacing w:after="0"/>
              <w:rPr>
                <w:sz w:val="12"/>
                <w:szCs w:val="12"/>
                <w:color w:val="auto"/>
              </w:rPr>
            </w:pPr>
          </w:p>
        </w:tc>
        <w:tc>
          <w:tcPr>
            <w:tcW w:w="1040" w:type="dxa"/>
            <w:vAlign w:val="bottom"/>
            <w:tcBorders>
              <w:top w:val="single" w:sz="8" w:color="auto"/>
            </w:tcBorders>
            <w:gridSpan w:val="3"/>
          </w:tcPr>
          <w:p>
            <w:pPr>
              <w:jc w:val="right"/>
              <w:spacing w:after="0"/>
              <w:rPr>
                <w:sz w:val="20"/>
                <w:szCs w:val="20"/>
                <w:color w:val="auto"/>
              </w:rPr>
            </w:pPr>
            <w:r>
              <w:rPr>
                <w:rFonts w:ascii="Times New Roman" w:cs="Times New Roman" w:eastAsia="Times New Roman" w:hAnsi="Times New Roman"/>
                <w:sz w:val="13"/>
                <w:szCs w:val="13"/>
                <w:b w:val="1"/>
                <w:bCs w:val="1"/>
                <w:color w:val="auto"/>
              </w:rPr>
              <w:t>Class A</w:t>
            </w:r>
          </w:p>
        </w:tc>
        <w:tc>
          <w:tcPr>
            <w:tcW w:w="62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w w:val="96"/>
              </w:rPr>
              <w:t>Retained</w:t>
            </w:r>
          </w:p>
        </w:tc>
        <w:tc>
          <w:tcPr>
            <w:tcW w:w="80" w:type="dxa"/>
            <w:vAlign w:val="bottom"/>
          </w:tcPr>
          <w:p>
            <w:pPr>
              <w:spacing w:after="0"/>
              <w:rPr>
                <w:sz w:val="12"/>
                <w:szCs w:val="12"/>
                <w:color w:val="auto"/>
              </w:rPr>
            </w:pPr>
          </w:p>
        </w:tc>
        <w:tc>
          <w:tcPr>
            <w:tcW w:w="900" w:type="dxa"/>
            <w:vAlign w:val="bottom"/>
            <w:tcBorders>
              <w:right w:val="single" w:sz="8" w:color="auto"/>
            </w:tcBorders>
            <w:gridSpan w:val="2"/>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w w:val="97"/>
              </w:rPr>
              <w:t>Accumulated</w:t>
            </w:r>
          </w:p>
        </w:tc>
        <w:tc>
          <w:tcPr>
            <w:tcW w:w="160" w:type="dxa"/>
            <w:vAlign w:val="bottom"/>
          </w:tcPr>
          <w:p>
            <w:pPr>
              <w:spacing w:after="0"/>
              <w:rPr>
                <w:sz w:val="12"/>
                <w:szCs w:val="12"/>
                <w:color w:val="auto"/>
              </w:rPr>
            </w:pPr>
          </w:p>
        </w:tc>
        <w:tc>
          <w:tcPr>
            <w:tcW w:w="720" w:type="dxa"/>
            <w:vAlign w:val="bottom"/>
            <w:tcBorders>
              <w:right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960" w:type="dxa"/>
            <w:vAlign w:val="bottom"/>
            <w:tcBorders>
              <w:right w:val="single" w:sz="8" w:color="auto"/>
            </w:tcBorders>
            <w:gridSpan w:val="3"/>
          </w:tcPr>
          <w:p>
            <w:pPr>
              <w:ind w:left="20"/>
              <w:spacing w:after="0"/>
              <w:rPr>
                <w:sz w:val="20"/>
                <w:szCs w:val="20"/>
                <w:color w:val="auto"/>
              </w:rPr>
            </w:pPr>
            <w:r>
              <w:rPr>
                <w:rFonts w:ascii="Times New Roman" w:cs="Times New Roman" w:eastAsia="Times New Roman" w:hAnsi="Times New Roman"/>
                <w:sz w:val="13"/>
                <w:szCs w:val="13"/>
                <w:b w:val="1"/>
                <w:bCs w:val="1"/>
                <w:color w:val="auto"/>
              </w:rPr>
              <w:t>Noncontrolling</w:t>
            </w:r>
          </w:p>
        </w:tc>
        <w:tc>
          <w:tcPr>
            <w:tcW w:w="140" w:type="dxa"/>
            <w:vAlign w:val="bottom"/>
          </w:tcPr>
          <w:p>
            <w:pPr>
              <w:spacing w:after="0"/>
              <w:rPr>
                <w:sz w:val="12"/>
                <w:szCs w:val="12"/>
                <w:color w:val="auto"/>
              </w:rPr>
            </w:pPr>
          </w:p>
        </w:tc>
        <w:tc>
          <w:tcPr>
            <w:tcW w:w="70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54"/>
        </w:trPr>
        <w:tc>
          <w:tcPr>
            <w:tcW w:w="3460" w:type="dxa"/>
            <w:vAlign w:val="bottom"/>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62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76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820" w:type="dxa"/>
            <w:vAlign w:val="bottom"/>
            <w:gridSpan w:val="2"/>
            <w:vMerge w:val="restart"/>
          </w:tcPr>
          <w:p>
            <w:pPr>
              <w:jc w:val="center"/>
              <w:ind w:right="200"/>
              <w:spacing w:after="0" w:line="122" w:lineRule="exact"/>
              <w:rPr>
                <w:sz w:val="20"/>
                <w:szCs w:val="20"/>
                <w:color w:val="auto"/>
              </w:rPr>
            </w:pPr>
            <w:r>
              <w:rPr>
                <w:rFonts w:ascii="Times New Roman" w:cs="Times New Roman" w:eastAsia="Times New Roman" w:hAnsi="Times New Roman"/>
                <w:sz w:val="13"/>
                <w:szCs w:val="13"/>
                <w:b w:val="1"/>
                <w:bCs w:val="1"/>
                <w:color w:val="auto"/>
                <w:w w:val="98"/>
              </w:rPr>
              <w:t>Earnings</w:t>
            </w:r>
          </w:p>
        </w:tc>
        <w:tc>
          <w:tcPr>
            <w:tcW w:w="80" w:type="dxa"/>
            <w:vAlign w:val="bottom"/>
          </w:tcPr>
          <w:p>
            <w:pPr>
              <w:spacing w:after="0"/>
              <w:rPr>
                <w:sz w:val="4"/>
                <w:szCs w:val="4"/>
                <w:color w:val="auto"/>
              </w:rPr>
            </w:pPr>
          </w:p>
        </w:tc>
        <w:tc>
          <w:tcPr>
            <w:tcW w:w="900" w:type="dxa"/>
            <w:vAlign w:val="bottom"/>
            <w:tcBorders>
              <w:right w:val="single" w:sz="8" w:color="auto"/>
            </w:tcBorders>
            <w:gridSpan w:val="2"/>
            <w:vMerge w:val="restart"/>
          </w:tcPr>
          <w:p>
            <w:pPr>
              <w:jc w:val="center"/>
              <w:ind w:right="180"/>
              <w:spacing w:after="0" w:line="122" w:lineRule="exact"/>
              <w:rPr>
                <w:sz w:val="20"/>
                <w:szCs w:val="20"/>
                <w:color w:val="auto"/>
              </w:rPr>
            </w:pPr>
            <w:r>
              <w:rPr>
                <w:rFonts w:ascii="Times New Roman" w:cs="Times New Roman" w:eastAsia="Times New Roman" w:hAnsi="Times New Roman"/>
                <w:sz w:val="13"/>
                <w:szCs w:val="13"/>
                <w:b w:val="1"/>
                <w:bCs w:val="1"/>
                <w:color w:val="auto"/>
                <w:w w:val="96"/>
              </w:rPr>
              <w:t>Other</w:t>
            </w:r>
          </w:p>
        </w:tc>
        <w:tc>
          <w:tcPr>
            <w:tcW w:w="160" w:type="dxa"/>
            <w:vAlign w:val="bottom"/>
          </w:tcPr>
          <w:p>
            <w:pPr>
              <w:spacing w:after="0"/>
              <w:rPr>
                <w:sz w:val="4"/>
                <w:szCs w:val="4"/>
                <w:color w:val="auto"/>
              </w:rPr>
            </w:pPr>
          </w:p>
        </w:tc>
        <w:tc>
          <w:tcPr>
            <w:tcW w:w="720" w:type="dxa"/>
            <w:vAlign w:val="bottom"/>
            <w:tcBorders>
              <w:right w:val="single" w:sz="8" w:color="auto"/>
            </w:tcBorders>
            <w:vMerge w:val="restart"/>
          </w:tcPr>
          <w:p>
            <w:pPr>
              <w:jc w:val="center"/>
              <w:ind w:right="109"/>
              <w:spacing w:after="0" w:line="122" w:lineRule="exact"/>
              <w:rPr>
                <w:sz w:val="20"/>
                <w:szCs w:val="20"/>
                <w:color w:val="auto"/>
              </w:rPr>
            </w:pPr>
            <w:r>
              <w:rPr>
                <w:rFonts w:ascii="Times New Roman" w:cs="Times New Roman" w:eastAsia="Times New Roman" w:hAnsi="Times New Roman"/>
                <w:sz w:val="13"/>
                <w:szCs w:val="13"/>
                <w:b w:val="1"/>
                <w:bCs w:val="1"/>
                <w:color w:val="auto"/>
                <w:w w:val="87"/>
              </w:rPr>
              <w:t>Total</w:t>
            </w:r>
          </w:p>
        </w:tc>
        <w:tc>
          <w:tcPr>
            <w:tcW w:w="60" w:type="dxa"/>
            <w:vAlign w:val="bottom"/>
            <w:vMerge w:val="restart"/>
          </w:tcPr>
          <w:p>
            <w:pPr>
              <w:spacing w:after="0"/>
              <w:rPr>
                <w:sz w:val="4"/>
                <w:szCs w:val="4"/>
                <w:color w:val="auto"/>
              </w:rPr>
            </w:pPr>
          </w:p>
        </w:tc>
        <w:tc>
          <w:tcPr>
            <w:tcW w:w="120" w:type="dxa"/>
            <w:vAlign w:val="bottom"/>
          </w:tcPr>
          <w:p>
            <w:pPr>
              <w:spacing w:after="0"/>
              <w:rPr>
                <w:sz w:val="4"/>
                <w:szCs w:val="4"/>
                <w:color w:val="auto"/>
              </w:rPr>
            </w:pPr>
          </w:p>
        </w:tc>
        <w:tc>
          <w:tcPr>
            <w:tcW w:w="840" w:type="dxa"/>
            <w:vAlign w:val="bottom"/>
            <w:tcBorders>
              <w:right w:val="single" w:sz="8" w:color="auto"/>
            </w:tcBorders>
            <w:gridSpan w:val="2"/>
            <w:vMerge w:val="restart"/>
          </w:tcPr>
          <w:p>
            <w:pPr>
              <w:jc w:val="center"/>
              <w:ind w:right="200"/>
              <w:spacing w:after="0" w:line="122" w:lineRule="exact"/>
              <w:rPr>
                <w:sz w:val="20"/>
                <w:szCs w:val="20"/>
                <w:color w:val="auto"/>
              </w:rPr>
            </w:pPr>
            <w:r>
              <w:rPr>
                <w:rFonts w:ascii="Times New Roman" w:cs="Times New Roman" w:eastAsia="Times New Roman" w:hAnsi="Times New Roman"/>
                <w:sz w:val="13"/>
                <w:szCs w:val="13"/>
                <w:b w:val="1"/>
                <w:bCs w:val="1"/>
                <w:color w:val="auto"/>
                <w:w w:val="95"/>
              </w:rPr>
              <w:t>Interests in</w:t>
            </w:r>
          </w:p>
        </w:tc>
        <w:tc>
          <w:tcPr>
            <w:tcW w:w="140" w:type="dxa"/>
            <w:vAlign w:val="bottom"/>
          </w:tcPr>
          <w:p>
            <w:pPr>
              <w:spacing w:after="0"/>
              <w:rPr>
                <w:sz w:val="4"/>
                <w:szCs w:val="4"/>
                <w:color w:val="auto"/>
              </w:rPr>
            </w:pPr>
          </w:p>
        </w:tc>
        <w:tc>
          <w:tcPr>
            <w:tcW w:w="70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48"/>
        </w:trPr>
        <w:tc>
          <w:tcPr>
            <w:tcW w:w="3460" w:type="dxa"/>
            <w:vAlign w:val="bottom"/>
          </w:tcPr>
          <w:p>
            <w:pPr>
              <w:spacing w:after="0"/>
              <w:rPr>
                <w:sz w:val="4"/>
                <w:szCs w:val="4"/>
                <w:color w:val="auto"/>
              </w:rPr>
            </w:pPr>
          </w:p>
        </w:tc>
        <w:tc>
          <w:tcPr>
            <w:tcW w:w="7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620" w:type="dxa"/>
            <w:vAlign w:val="bottom"/>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76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820" w:type="dxa"/>
            <w:vAlign w:val="bottom"/>
            <w:gridSpan w:val="2"/>
            <w:vMerge w:val="continue"/>
          </w:tcPr>
          <w:p>
            <w:pPr>
              <w:spacing w:after="0"/>
              <w:rPr>
                <w:sz w:val="4"/>
                <w:szCs w:val="4"/>
                <w:color w:val="auto"/>
              </w:rPr>
            </w:pPr>
          </w:p>
        </w:tc>
        <w:tc>
          <w:tcPr>
            <w:tcW w:w="80" w:type="dxa"/>
            <w:vAlign w:val="bottom"/>
          </w:tcPr>
          <w:p>
            <w:pPr>
              <w:spacing w:after="0"/>
              <w:rPr>
                <w:sz w:val="4"/>
                <w:szCs w:val="4"/>
                <w:color w:val="auto"/>
              </w:rPr>
            </w:pPr>
          </w:p>
        </w:tc>
        <w:tc>
          <w:tcPr>
            <w:tcW w:w="900" w:type="dxa"/>
            <w:vAlign w:val="bottom"/>
            <w:tcBorders>
              <w:right w:val="single" w:sz="8" w:color="auto"/>
            </w:tcBorders>
            <w:gridSpan w:val="2"/>
            <w:vMerge w:val="continue"/>
          </w:tcPr>
          <w:p>
            <w:pPr>
              <w:spacing w:after="0"/>
              <w:rPr>
                <w:sz w:val="4"/>
                <w:szCs w:val="4"/>
                <w:color w:val="auto"/>
              </w:rPr>
            </w:pPr>
          </w:p>
        </w:tc>
        <w:tc>
          <w:tcPr>
            <w:tcW w:w="160" w:type="dxa"/>
            <w:vAlign w:val="bottom"/>
          </w:tcPr>
          <w:p>
            <w:pPr>
              <w:spacing w:after="0"/>
              <w:rPr>
                <w:sz w:val="4"/>
                <w:szCs w:val="4"/>
                <w:color w:val="auto"/>
              </w:rPr>
            </w:pPr>
          </w:p>
        </w:tc>
        <w:tc>
          <w:tcPr>
            <w:tcW w:w="720" w:type="dxa"/>
            <w:vAlign w:val="bottom"/>
            <w:tcBorders>
              <w:right w:val="single" w:sz="8" w:color="auto"/>
            </w:tcBorders>
            <w:vMerge w:val="continue"/>
          </w:tcPr>
          <w:p>
            <w:pPr>
              <w:spacing w:after="0"/>
              <w:rPr>
                <w:sz w:val="4"/>
                <w:szCs w:val="4"/>
                <w:color w:val="auto"/>
              </w:rPr>
            </w:pPr>
          </w:p>
        </w:tc>
        <w:tc>
          <w:tcPr>
            <w:tcW w:w="6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840" w:type="dxa"/>
            <w:vAlign w:val="bottom"/>
            <w:tcBorders>
              <w:right w:val="single" w:sz="8" w:color="auto"/>
            </w:tcBorders>
            <w:gridSpan w:val="2"/>
            <w:vMerge w:val="continue"/>
          </w:tcPr>
          <w:p>
            <w:pPr>
              <w:spacing w:after="0"/>
              <w:rPr>
                <w:sz w:val="4"/>
                <w:szCs w:val="4"/>
                <w:color w:val="auto"/>
              </w:rPr>
            </w:pPr>
          </w:p>
        </w:tc>
        <w:tc>
          <w:tcPr>
            <w:tcW w:w="140" w:type="dxa"/>
            <w:vAlign w:val="bottom"/>
          </w:tcPr>
          <w:p>
            <w:pPr>
              <w:spacing w:after="0"/>
              <w:rPr>
                <w:sz w:val="4"/>
                <w:szCs w:val="4"/>
                <w:color w:val="auto"/>
              </w:rPr>
            </w:pPr>
          </w:p>
        </w:tc>
        <w:tc>
          <w:tcPr>
            <w:tcW w:w="70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35"/>
        </w:trPr>
        <w:tc>
          <w:tcPr>
            <w:tcW w:w="3460" w:type="dxa"/>
            <w:vAlign w:val="bottom"/>
          </w:tcPr>
          <w:p>
            <w:pPr>
              <w:spacing w:after="0"/>
              <w:rPr>
                <w:sz w:val="11"/>
                <w:szCs w:val="11"/>
                <w:color w:val="auto"/>
              </w:rPr>
            </w:pPr>
          </w:p>
        </w:tc>
        <w:tc>
          <w:tcPr>
            <w:tcW w:w="880" w:type="dxa"/>
            <w:vAlign w:val="bottom"/>
            <w:gridSpan w:val="2"/>
            <w:vMerge w:val="restart"/>
          </w:tcPr>
          <w:p>
            <w:pPr>
              <w:ind w:left="220"/>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160" w:type="dxa"/>
            <w:vAlign w:val="bottom"/>
          </w:tcPr>
          <w:p>
            <w:pPr>
              <w:spacing w:after="0"/>
              <w:rPr>
                <w:sz w:val="11"/>
                <w:szCs w:val="11"/>
                <w:color w:val="auto"/>
              </w:rPr>
            </w:pPr>
          </w:p>
        </w:tc>
        <w:tc>
          <w:tcPr>
            <w:tcW w:w="700" w:type="dxa"/>
            <w:vAlign w:val="bottom"/>
            <w:gridSpan w:val="2"/>
            <w:vMerge w:val="restart"/>
          </w:tcPr>
          <w:p>
            <w:pPr>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120" w:type="dxa"/>
            <w:vAlign w:val="bottom"/>
          </w:tcPr>
          <w:p>
            <w:pPr>
              <w:spacing w:after="0"/>
              <w:rPr>
                <w:sz w:val="11"/>
                <w:szCs w:val="11"/>
                <w:color w:val="auto"/>
              </w:rPr>
            </w:pPr>
          </w:p>
        </w:tc>
        <w:tc>
          <w:tcPr>
            <w:tcW w:w="840" w:type="dxa"/>
            <w:vAlign w:val="bottom"/>
            <w:gridSpan w:val="2"/>
          </w:tcPr>
          <w:p>
            <w:pPr>
              <w:ind w:left="20"/>
              <w:spacing w:after="0" w:line="135" w:lineRule="exact"/>
              <w:rPr>
                <w:sz w:val="20"/>
                <w:szCs w:val="20"/>
                <w:color w:val="auto"/>
              </w:rPr>
            </w:pPr>
            <w:r>
              <w:rPr>
                <w:rFonts w:ascii="Times New Roman" w:cs="Times New Roman" w:eastAsia="Times New Roman" w:hAnsi="Times New Roman"/>
                <w:sz w:val="13"/>
                <w:szCs w:val="13"/>
                <w:b w:val="1"/>
                <w:bCs w:val="1"/>
                <w:color w:val="auto"/>
              </w:rPr>
              <w:t>Additional</w:t>
            </w:r>
          </w:p>
        </w:tc>
        <w:tc>
          <w:tcPr>
            <w:tcW w:w="920" w:type="dxa"/>
            <w:vAlign w:val="bottom"/>
            <w:gridSpan w:val="3"/>
          </w:tcPr>
          <w:p>
            <w:pPr>
              <w:jc w:val="center"/>
              <w:ind w:right="100"/>
              <w:spacing w:after="0" w:line="135" w:lineRule="exact"/>
              <w:rPr>
                <w:sz w:val="20"/>
                <w:szCs w:val="20"/>
                <w:color w:val="auto"/>
              </w:rPr>
            </w:pPr>
            <w:r>
              <w:rPr>
                <w:rFonts w:ascii="Times New Roman" w:cs="Times New Roman" w:eastAsia="Times New Roman" w:hAnsi="Times New Roman"/>
                <w:sz w:val="13"/>
                <w:szCs w:val="13"/>
                <w:b w:val="1"/>
                <w:bCs w:val="1"/>
                <w:color w:val="auto"/>
                <w:w w:val="94"/>
              </w:rPr>
              <w:t>(Accumulated</w:t>
            </w:r>
          </w:p>
        </w:tc>
        <w:tc>
          <w:tcPr>
            <w:tcW w:w="980" w:type="dxa"/>
            <w:vAlign w:val="bottom"/>
            <w:tcBorders>
              <w:right w:val="single" w:sz="8" w:color="auto"/>
            </w:tcBorders>
            <w:gridSpan w:val="3"/>
          </w:tcPr>
          <w:p>
            <w:pPr>
              <w:ind w:left="20"/>
              <w:spacing w:after="0" w:line="135" w:lineRule="exact"/>
              <w:rPr>
                <w:sz w:val="20"/>
                <w:szCs w:val="20"/>
                <w:color w:val="auto"/>
              </w:rPr>
            </w:pPr>
            <w:r>
              <w:rPr>
                <w:rFonts w:ascii="Times New Roman" w:cs="Times New Roman" w:eastAsia="Times New Roman" w:hAnsi="Times New Roman"/>
                <w:sz w:val="13"/>
                <w:szCs w:val="13"/>
                <w:b w:val="1"/>
                <w:bCs w:val="1"/>
                <w:color w:val="auto"/>
              </w:rPr>
              <w:t>Comprehensive</w:t>
            </w:r>
          </w:p>
        </w:tc>
        <w:tc>
          <w:tcPr>
            <w:tcW w:w="880" w:type="dxa"/>
            <w:vAlign w:val="bottom"/>
            <w:tcBorders>
              <w:right w:val="single" w:sz="8" w:color="auto"/>
            </w:tcBorders>
            <w:gridSpan w:val="2"/>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6"/>
              </w:rPr>
              <w:t>Stockholders’</w:t>
            </w: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Borders>
              <w:right w:val="single" w:sz="8" w:color="auto"/>
            </w:tcBorders>
            <w:gridSpan w:val="2"/>
          </w:tcPr>
          <w:p>
            <w:pPr>
              <w:jc w:val="center"/>
              <w:ind w:right="200"/>
              <w:spacing w:after="0" w:line="135" w:lineRule="exact"/>
              <w:rPr>
                <w:sz w:val="20"/>
                <w:szCs w:val="20"/>
                <w:color w:val="auto"/>
              </w:rPr>
            </w:pPr>
            <w:r>
              <w:rPr>
                <w:rFonts w:ascii="Times New Roman" w:cs="Times New Roman" w:eastAsia="Times New Roman" w:hAnsi="Times New Roman"/>
                <w:sz w:val="13"/>
                <w:szCs w:val="13"/>
                <w:b w:val="1"/>
                <w:bCs w:val="1"/>
                <w:color w:val="auto"/>
                <w:w w:val="96"/>
              </w:rPr>
              <w:t>Investment</w:t>
            </w:r>
          </w:p>
        </w:tc>
        <w:tc>
          <w:tcPr>
            <w:tcW w:w="840" w:type="dxa"/>
            <w:vAlign w:val="bottom"/>
            <w:tcBorders>
              <w:right w:val="single" w:sz="8" w:color="auto"/>
            </w:tcBorders>
            <w:gridSpan w:val="2"/>
            <w:vMerge w:val="restart"/>
          </w:tcPr>
          <w:p>
            <w:pPr>
              <w:jc w:val="right"/>
              <w:ind w:right="28"/>
              <w:spacing w:after="0"/>
              <w:rPr>
                <w:sz w:val="20"/>
                <w:szCs w:val="20"/>
                <w:color w:val="auto"/>
              </w:rPr>
            </w:pPr>
            <w:r>
              <w:rPr>
                <w:rFonts w:ascii="Times New Roman" w:cs="Times New Roman" w:eastAsia="Times New Roman" w:hAnsi="Times New Roman"/>
                <w:sz w:val="13"/>
                <w:szCs w:val="13"/>
                <w:b w:val="1"/>
                <w:bCs w:val="1"/>
                <w:color w:val="auto"/>
              </w:rPr>
              <w:t>Total Equity</w:t>
            </w:r>
          </w:p>
        </w:tc>
        <w:tc>
          <w:tcPr>
            <w:tcW w:w="0" w:type="dxa"/>
            <w:vAlign w:val="bottom"/>
          </w:tcPr>
          <w:p>
            <w:pPr>
              <w:spacing w:after="0"/>
              <w:rPr>
                <w:sz w:val="1"/>
                <w:szCs w:val="1"/>
                <w:color w:val="auto"/>
              </w:rPr>
            </w:pPr>
          </w:p>
        </w:tc>
      </w:tr>
      <w:tr>
        <w:trPr>
          <w:trHeight w:val="171"/>
        </w:trPr>
        <w:tc>
          <w:tcPr>
            <w:tcW w:w="3460" w:type="dxa"/>
            <w:vAlign w:val="bottom"/>
          </w:tcPr>
          <w:p>
            <w:pPr>
              <w:spacing w:after="0"/>
              <w:rPr>
                <w:sz w:val="14"/>
                <w:szCs w:val="14"/>
                <w:color w:val="auto"/>
              </w:rPr>
            </w:pPr>
          </w:p>
        </w:tc>
        <w:tc>
          <w:tcPr>
            <w:tcW w:w="88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gridSpan w:val="2"/>
            <w:vMerge w:val="continue"/>
          </w:tcPr>
          <w:p>
            <w:pPr>
              <w:spacing w:after="0"/>
              <w:rPr>
                <w:sz w:val="14"/>
                <w:szCs w:val="14"/>
                <w:color w:val="auto"/>
              </w:rPr>
            </w:pPr>
          </w:p>
        </w:tc>
        <w:tc>
          <w:tcPr>
            <w:tcW w:w="960" w:type="dxa"/>
            <w:vAlign w:val="bottom"/>
            <w:gridSpan w:val="3"/>
          </w:tcPr>
          <w:p>
            <w:pPr>
              <w:ind w:left="20"/>
              <w:spacing w:after="0"/>
              <w:rPr>
                <w:sz w:val="20"/>
                <w:szCs w:val="20"/>
                <w:color w:val="auto"/>
              </w:rPr>
            </w:pPr>
            <w:r>
              <w:rPr>
                <w:rFonts w:ascii="Times New Roman" w:cs="Times New Roman" w:eastAsia="Times New Roman" w:hAnsi="Times New Roman"/>
                <w:sz w:val="13"/>
                <w:szCs w:val="13"/>
                <w:b w:val="1"/>
                <w:bCs w:val="1"/>
                <w:color w:val="auto"/>
              </w:rPr>
              <w:t>Paid-in Capital</w:t>
            </w:r>
          </w:p>
        </w:tc>
        <w:tc>
          <w:tcPr>
            <w:tcW w:w="100" w:type="dxa"/>
            <w:vAlign w:val="bottom"/>
          </w:tcPr>
          <w:p>
            <w:pPr>
              <w:spacing w:after="0"/>
              <w:rPr>
                <w:sz w:val="14"/>
                <w:szCs w:val="14"/>
                <w:color w:val="auto"/>
              </w:rPr>
            </w:pPr>
          </w:p>
        </w:tc>
        <w:tc>
          <w:tcPr>
            <w:tcW w:w="820" w:type="dxa"/>
            <w:vAlign w:val="bottom"/>
            <w:gridSpan w:val="2"/>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w w:val="97"/>
              </w:rPr>
              <w:t>Deficit)</w:t>
            </w:r>
          </w:p>
        </w:tc>
        <w:tc>
          <w:tcPr>
            <w:tcW w:w="980" w:type="dxa"/>
            <w:vAlign w:val="bottom"/>
            <w:tcBorders>
              <w:right w:val="single" w:sz="8" w:color="auto"/>
            </w:tcBorders>
            <w:gridSpan w:val="3"/>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w w:val="96"/>
              </w:rPr>
              <w:t>Income (Loss)</w:t>
            </w:r>
          </w:p>
        </w:tc>
        <w:tc>
          <w:tcPr>
            <w:tcW w:w="160" w:type="dxa"/>
            <w:vAlign w:val="bottom"/>
          </w:tcPr>
          <w:p>
            <w:pPr>
              <w:spacing w:after="0"/>
              <w:rPr>
                <w:sz w:val="14"/>
                <w:szCs w:val="14"/>
                <w:color w:val="auto"/>
              </w:rPr>
            </w:pPr>
          </w:p>
        </w:tc>
        <w:tc>
          <w:tcPr>
            <w:tcW w:w="720" w:type="dxa"/>
            <w:vAlign w:val="bottom"/>
            <w:tcBorders>
              <w:right w:val="single" w:sz="8" w:color="auto"/>
            </w:tcBorders>
          </w:tcPr>
          <w:p>
            <w:pPr>
              <w:jc w:val="center"/>
              <w:ind w:right="109"/>
              <w:spacing w:after="0"/>
              <w:rPr>
                <w:sz w:val="20"/>
                <w:szCs w:val="20"/>
                <w:color w:val="auto"/>
              </w:rPr>
            </w:pPr>
            <w:r>
              <w:rPr>
                <w:rFonts w:ascii="Times New Roman" w:cs="Times New Roman" w:eastAsia="Times New Roman" w:hAnsi="Times New Roman"/>
                <w:sz w:val="13"/>
                <w:szCs w:val="13"/>
                <w:b w:val="1"/>
                <w:bCs w:val="1"/>
                <w:color w:val="auto"/>
              </w:rPr>
              <w:t>Equity</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Borders>
              <w:right w:val="single" w:sz="8" w:color="auto"/>
            </w:tcBorders>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8"/>
              </w:rPr>
              <w:t>Entities</w:t>
            </w:r>
          </w:p>
        </w:tc>
        <w:tc>
          <w:tcPr>
            <w:tcW w:w="840" w:type="dxa"/>
            <w:vAlign w:val="bottom"/>
            <w:tcBorders>
              <w:right w:val="single" w:sz="8" w:color="auto"/>
            </w:tcBorders>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2"/>
        </w:trPr>
        <w:tc>
          <w:tcPr>
            <w:tcW w:w="34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as of December 31, 2024</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129,685</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1,297</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2,865,341</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(1,812,083)</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(6,337)</w:t>
            </w:r>
          </w:p>
        </w:tc>
        <w:tc>
          <w:tcPr>
            <w:tcW w:w="100" w:type="dxa"/>
            <w:vAlign w:val="bottom"/>
            <w:tcBorders>
              <w:top w:val="single" w:sz="8" w:color="CCEEFF"/>
              <w:bottom w:val="single" w:sz="8" w:color="CCEEFF"/>
              <w:right w:val="single" w:sz="8" w:color="auto"/>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top w:val="single" w:sz="8" w:color="auto"/>
              <w:bottom w:val="single" w:sz="8" w:color="auto"/>
              <w:right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1,048,218</w:t>
            </w: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top w:val="single" w:sz="8" w:color="auto"/>
              <w:bottom w:val="single" w:sz="8" w:color="auto"/>
            </w:tcBorders>
            <w:shd w:val="clear" w:color="auto" w:fill="CCEEFF"/>
          </w:tcPr>
          <w:p>
            <w:pPr>
              <w:ind w:left="300"/>
              <w:spacing w:after="0"/>
              <w:rPr>
                <w:sz w:val="20"/>
                <w:szCs w:val="20"/>
                <w:color w:val="auto"/>
              </w:rPr>
            </w:pPr>
            <w:r>
              <w:rPr>
                <w:rFonts w:ascii="Times New Roman" w:cs="Times New Roman" w:eastAsia="Times New Roman" w:hAnsi="Times New Roman"/>
                <w:sz w:val="14"/>
                <w:szCs w:val="14"/>
                <w:color w:val="auto"/>
              </w:rPr>
              <w:t>(2,407)</w:t>
            </w:r>
          </w:p>
        </w:tc>
        <w:tc>
          <w:tcPr>
            <w:tcW w:w="100" w:type="dxa"/>
            <w:vAlign w:val="bottom"/>
            <w:tcBorders>
              <w:top w:val="single" w:sz="8" w:color="CCEEFF"/>
              <w:bottom w:val="single" w:sz="8" w:color="CCEEFF"/>
              <w:right w:val="single" w:sz="8" w:color="auto"/>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top w:val="single" w:sz="8" w:color="auto"/>
              <w:bottom w:val="single" w:sz="8" w:color="auto"/>
              <w:right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1,045,811</w:t>
            </w:r>
          </w:p>
        </w:tc>
        <w:tc>
          <w:tcPr>
            <w:tcW w:w="0" w:type="dxa"/>
            <w:vAlign w:val="bottom"/>
          </w:tcPr>
          <w:p>
            <w:pPr>
              <w:spacing w:after="0"/>
              <w:rPr>
                <w:sz w:val="1"/>
                <w:szCs w:val="1"/>
                <w:color w:val="auto"/>
              </w:rPr>
            </w:pPr>
          </w:p>
        </w:tc>
      </w:tr>
      <w:tr>
        <w:trPr>
          <w:trHeight w:val="20"/>
        </w:trPr>
        <w:tc>
          <w:tcPr>
            <w:tcW w:w="346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Issuance and amortization of equity-based compensation</w:t>
            </w: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7"/>
        </w:trPr>
        <w:tc>
          <w:tcPr>
            <w:tcW w:w="3460" w:type="dxa"/>
            <w:vAlign w:val="bottom"/>
            <w:vMerge w:val="continue"/>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1,619</w:t>
            </w:r>
          </w:p>
        </w:tc>
        <w:tc>
          <w:tcPr>
            <w:tcW w:w="100" w:type="dxa"/>
            <w:vAlign w:val="bottom"/>
          </w:tcPr>
          <w:p>
            <w:pPr>
              <w:spacing w:after="0"/>
              <w:rPr>
                <w:sz w:val="14"/>
                <w:szCs w:val="14"/>
                <w:color w:val="auto"/>
              </w:rPr>
            </w:pPr>
          </w:p>
        </w:tc>
        <w:tc>
          <w:tcPr>
            <w:tcW w:w="1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w:t>
            </w:r>
          </w:p>
        </w:tc>
        <w:tc>
          <w:tcPr>
            <w:tcW w:w="80" w:type="dxa"/>
            <w:vAlign w:val="bottom"/>
          </w:tcPr>
          <w:p>
            <w:pPr>
              <w:spacing w:after="0"/>
              <w:rPr>
                <w:sz w:val="14"/>
                <w:szCs w:val="14"/>
                <w:color w:val="auto"/>
              </w:rPr>
            </w:pPr>
          </w:p>
        </w:tc>
        <w:tc>
          <w:tcPr>
            <w:tcW w:w="1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4,197</w:t>
            </w:r>
          </w:p>
        </w:tc>
        <w:tc>
          <w:tcPr>
            <w:tcW w:w="8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Borders>
              <w:right w:val="single" w:sz="8" w:color="auto"/>
            </w:tcBorders>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right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rPr>
              <w:t>4,213</w:t>
            </w:r>
          </w:p>
        </w:tc>
        <w:tc>
          <w:tcPr>
            <w:tcW w:w="60" w:type="dxa"/>
            <w:vAlign w:val="bottom"/>
          </w:tcPr>
          <w:p>
            <w:pPr>
              <w:spacing w:after="0"/>
              <w:rPr>
                <w:sz w:val="14"/>
                <w:szCs w:val="14"/>
                <w:color w:val="auto"/>
              </w:rPr>
            </w:pPr>
          </w:p>
        </w:tc>
        <w:tc>
          <w:tcPr>
            <w:tcW w:w="1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Borders>
              <w:right w:val="single" w:sz="8" w:color="auto"/>
            </w:tcBorders>
            <w:gridSpan w:val="2"/>
          </w:tcPr>
          <w:p>
            <w:pPr>
              <w:ind w:left="5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right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4,213</w:t>
            </w:r>
          </w:p>
        </w:tc>
        <w:tc>
          <w:tcPr>
            <w:tcW w:w="0" w:type="dxa"/>
            <w:vAlign w:val="bottom"/>
          </w:tcPr>
          <w:p>
            <w:pPr>
              <w:spacing w:after="0"/>
              <w:rPr>
                <w:sz w:val="1"/>
                <w:szCs w:val="1"/>
                <w:color w:val="auto"/>
              </w:rPr>
            </w:pPr>
          </w:p>
        </w:tc>
      </w:tr>
      <w:tr>
        <w:trPr>
          <w:trHeight w:val="23"/>
        </w:trPr>
        <w:tc>
          <w:tcPr>
            <w:tcW w:w="34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Borders>
              <w:right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Borders>
              <w:right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Borders>
              <w:right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700" w:type="dxa"/>
            <w:vAlign w:val="bottom"/>
            <w:tcBorders>
              <w:right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34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comprehensive income</w:t>
            </w:r>
          </w:p>
        </w:tc>
        <w:tc>
          <w:tcPr>
            <w:tcW w:w="8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CCEEFF"/>
            </w:tcBorders>
            <w:shd w:val="clear" w:color="auto" w:fill="CCEEFF"/>
          </w:tcPr>
          <w:p>
            <w:pPr>
              <w:spacing w:after="0"/>
              <w:rPr>
                <w:sz w:val="17"/>
                <w:szCs w:val="17"/>
                <w:color w:val="auto"/>
              </w:rPr>
            </w:pPr>
          </w:p>
        </w:tc>
        <w:tc>
          <w:tcPr>
            <w:tcW w:w="7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7"/>
                <w:szCs w:val="17"/>
                <w:color w:val="auto"/>
              </w:rPr>
            </w:pPr>
          </w:p>
        </w:tc>
        <w:tc>
          <w:tcPr>
            <w:tcW w:w="8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8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1,831</w:t>
            </w:r>
          </w:p>
        </w:tc>
        <w:tc>
          <w:tcPr>
            <w:tcW w:w="100" w:type="dxa"/>
            <w:vAlign w:val="bottom"/>
            <w:tcBorders>
              <w:bottom w:val="single" w:sz="8" w:color="CCEEFF"/>
              <w:right w:val="single" w:sz="8" w:color="auto"/>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720" w:type="dxa"/>
            <w:vAlign w:val="bottom"/>
            <w:tcBorders>
              <w:bottom w:val="single" w:sz="8" w:color="CCEEFF"/>
              <w:right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1,831</w:t>
            </w:r>
          </w:p>
        </w:tc>
        <w:tc>
          <w:tcPr>
            <w:tcW w:w="6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840" w:type="dxa"/>
            <w:vAlign w:val="bottom"/>
            <w:tcBorders>
              <w:bottom w:val="single" w:sz="8" w:color="CCEEFF"/>
              <w:right w:val="single" w:sz="8" w:color="auto"/>
            </w:tcBorders>
            <w:gridSpan w:val="2"/>
            <w:shd w:val="clear" w:color="auto" w:fill="CCEEFF"/>
          </w:tcPr>
          <w:p>
            <w:pPr>
              <w:ind w:left="5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shd w:val="clear" w:color="auto" w:fill="CCEEFF"/>
          </w:tcPr>
          <w:p>
            <w:pPr>
              <w:spacing w:after="0"/>
              <w:rPr>
                <w:sz w:val="17"/>
                <w:szCs w:val="17"/>
                <w:color w:val="auto"/>
              </w:rPr>
            </w:pPr>
          </w:p>
        </w:tc>
        <w:tc>
          <w:tcPr>
            <w:tcW w:w="700" w:type="dxa"/>
            <w:vAlign w:val="bottom"/>
            <w:tcBorders>
              <w:bottom w:val="single" w:sz="8" w:color="CCEEFF"/>
              <w:right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1,831</w:t>
            </w:r>
          </w:p>
        </w:tc>
        <w:tc>
          <w:tcPr>
            <w:tcW w:w="0" w:type="dxa"/>
            <w:vAlign w:val="bottom"/>
          </w:tcPr>
          <w:p>
            <w:pPr>
              <w:spacing w:after="0"/>
              <w:rPr>
                <w:sz w:val="1"/>
                <w:szCs w:val="1"/>
                <w:color w:val="auto"/>
              </w:rPr>
            </w:pPr>
          </w:p>
        </w:tc>
      </w:tr>
      <w:tr>
        <w:trPr>
          <w:trHeight w:val="193"/>
        </w:trPr>
        <w:tc>
          <w:tcPr>
            <w:tcW w:w="34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Dividends and distributions declared ($0.16 per share)</w:t>
            </w: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(20,802)</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00" w:type="dxa"/>
            <w:vAlign w:val="bottom"/>
            <w:tcBorders>
              <w:right w:val="single" w:sz="8" w:color="auto"/>
            </w:tcBorders>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72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(20,802)</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Borders>
              <w:right w:val="single" w:sz="8" w:color="auto"/>
            </w:tcBorders>
            <w:gridSpan w:val="2"/>
          </w:tcPr>
          <w:p>
            <w:pPr>
              <w:ind w:left="5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70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(20,802)</w:t>
            </w:r>
          </w:p>
        </w:tc>
        <w:tc>
          <w:tcPr>
            <w:tcW w:w="0" w:type="dxa"/>
            <w:vAlign w:val="bottom"/>
          </w:tcPr>
          <w:p>
            <w:pPr>
              <w:spacing w:after="0"/>
              <w:rPr>
                <w:sz w:val="1"/>
                <w:szCs w:val="1"/>
                <w:color w:val="auto"/>
              </w:rPr>
            </w:pPr>
          </w:p>
        </w:tc>
      </w:tr>
      <w:tr>
        <w:trPr>
          <w:trHeight w:val="23"/>
        </w:trPr>
        <w:tc>
          <w:tcPr>
            <w:tcW w:w="34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Borders>
              <w:right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Borders>
              <w:right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Borders>
              <w:right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700" w:type="dxa"/>
            <w:vAlign w:val="bottom"/>
            <w:tcBorders>
              <w:right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3"/>
        </w:trPr>
        <w:tc>
          <w:tcPr>
            <w:tcW w:w="3460" w:type="dxa"/>
            <w:vAlign w:val="bottom"/>
            <w:shd w:val="clear" w:color="auto" w:fill="CCEEFF"/>
          </w:tcPr>
          <w:p>
            <w:pPr>
              <w:ind w:left="20"/>
              <w:spacing w:after="0" w:line="153" w:lineRule="exact"/>
              <w:rPr>
                <w:sz w:val="20"/>
                <w:szCs w:val="20"/>
                <w:color w:val="auto"/>
              </w:rPr>
            </w:pPr>
            <w:r>
              <w:rPr>
                <w:rFonts w:ascii="Times New Roman" w:cs="Times New Roman" w:eastAsia="Times New Roman" w:hAnsi="Times New Roman"/>
                <w:sz w:val="14"/>
                <w:szCs w:val="14"/>
                <w:color w:val="auto"/>
              </w:rPr>
              <w:t>Shares canceled for tax withholding on vested stock</w:t>
            </w: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(646)</w:t>
            </w: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(3,872)</w:t>
            </w: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3"/>
                <w:szCs w:val="13"/>
                <w:color w:val="auto"/>
              </w:rPr>
            </w:pPr>
          </w:p>
        </w:tc>
        <w:tc>
          <w:tcPr>
            <w:tcW w:w="900" w:type="dxa"/>
            <w:vAlign w:val="bottom"/>
            <w:tcBorders>
              <w:right w:val="single" w:sz="8" w:color="auto"/>
            </w:tcBorders>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3"/>
                <w:szCs w:val="13"/>
                <w:color w:val="auto"/>
              </w:rPr>
            </w:pPr>
          </w:p>
        </w:tc>
        <w:tc>
          <w:tcPr>
            <w:tcW w:w="720" w:type="dxa"/>
            <w:vAlign w:val="bottom"/>
            <w:tcBorders>
              <w:right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(3,878)</w:t>
            </w:r>
          </w:p>
        </w:tc>
        <w:tc>
          <w:tcPr>
            <w:tcW w:w="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40" w:type="dxa"/>
            <w:vAlign w:val="bottom"/>
            <w:tcBorders>
              <w:right w:val="single" w:sz="8" w:color="auto"/>
            </w:tcBorders>
            <w:gridSpan w:val="2"/>
            <w:vMerge w:val="restart"/>
            <w:shd w:val="clear" w:color="auto" w:fill="CCEEFF"/>
          </w:tcPr>
          <w:p>
            <w:pPr>
              <w:ind w:left="5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3"/>
                <w:szCs w:val="13"/>
                <w:color w:val="auto"/>
              </w:rPr>
            </w:pPr>
          </w:p>
        </w:tc>
        <w:tc>
          <w:tcPr>
            <w:tcW w:w="700" w:type="dxa"/>
            <w:vAlign w:val="bottom"/>
            <w:tcBorders>
              <w:right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(3,878)</w:t>
            </w:r>
          </w:p>
        </w:tc>
        <w:tc>
          <w:tcPr>
            <w:tcW w:w="0" w:type="dxa"/>
            <w:vAlign w:val="bottom"/>
          </w:tcPr>
          <w:p>
            <w:pPr>
              <w:spacing w:after="0"/>
              <w:rPr>
                <w:sz w:val="1"/>
                <w:szCs w:val="1"/>
                <w:color w:val="auto"/>
              </w:rPr>
            </w:pPr>
          </w:p>
        </w:tc>
      </w:tr>
      <w:tr>
        <w:trPr>
          <w:trHeight w:val="198"/>
        </w:trPr>
        <w:tc>
          <w:tcPr>
            <w:tcW w:w="3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awards</w:t>
            </w:r>
          </w:p>
        </w:tc>
        <w:tc>
          <w:tcPr>
            <w:tcW w:w="78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gridSpan w:val="2"/>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00" w:type="dxa"/>
            <w:vAlign w:val="bottom"/>
            <w:tcBorders>
              <w:right w:val="single" w:sz="8" w:color="auto"/>
            </w:tcBorders>
            <w:gridSpan w:val="2"/>
            <w:vMerge w:val="continue"/>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tcBorders>
              <w:right w:val="single" w:sz="8" w:color="auto"/>
            </w:tcBorders>
            <w:vMerge w:val="continue"/>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tcBorders>
              <w:right w:val="single" w:sz="8" w:color="auto"/>
            </w:tcBorders>
            <w:gridSpan w:val="2"/>
            <w:vMerge w:val="continue"/>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tcBorders>
              <w:right w:val="single" w:sz="8" w:color="auto"/>
            </w:tcBorders>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34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income (loss)</w:t>
            </w: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74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5,342</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00" w:type="dxa"/>
            <w:vAlign w:val="bottom"/>
            <w:tcBorders>
              <w:right w:val="single" w:sz="8" w:color="auto"/>
            </w:tcBorders>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720" w:type="dxa"/>
            <w:vAlign w:val="bottom"/>
            <w:tcBorders>
              <w:right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rPr>
              <w:t>5,342</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(1,634)</w:t>
            </w:r>
          </w:p>
        </w:tc>
        <w:tc>
          <w:tcPr>
            <w:tcW w:w="100" w:type="dxa"/>
            <w:vAlign w:val="bottom"/>
            <w:tcBorders>
              <w:right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tcBorders>
              <w:right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3,708</w:t>
            </w:r>
          </w:p>
        </w:tc>
        <w:tc>
          <w:tcPr>
            <w:tcW w:w="0" w:type="dxa"/>
            <w:vAlign w:val="bottom"/>
          </w:tcPr>
          <w:p>
            <w:pPr>
              <w:spacing w:after="0"/>
              <w:rPr>
                <w:sz w:val="1"/>
                <w:szCs w:val="1"/>
                <w:color w:val="auto"/>
              </w:rPr>
            </w:pPr>
          </w:p>
        </w:tc>
      </w:tr>
      <w:tr>
        <w:trPr>
          <w:trHeight w:val="23"/>
        </w:trPr>
        <w:tc>
          <w:tcPr>
            <w:tcW w:w="3460" w:type="dxa"/>
            <w:vAlign w:val="bottom"/>
            <w:tcBorders>
              <w:bottom w:val="single" w:sz="8" w:color="CCEEFF"/>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right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20" w:type="dxa"/>
            <w:vAlign w:val="bottom"/>
            <w:tcBorders>
              <w:bottom w:val="single" w:sz="8" w:color="auto"/>
              <w:right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right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7"/>
        </w:trPr>
        <w:tc>
          <w:tcPr>
            <w:tcW w:w="34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as of March 31, 2025</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130,658</w:t>
            </w:r>
          </w:p>
        </w:tc>
        <w:tc>
          <w:tcPr>
            <w:tcW w:w="1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1,307</w:t>
            </w:r>
          </w:p>
        </w:tc>
        <w:tc>
          <w:tcPr>
            <w:tcW w:w="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2,865,666</w:t>
            </w:r>
          </w:p>
        </w:tc>
        <w:tc>
          <w:tcPr>
            <w:tcW w:w="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(1,827,543)</w:t>
            </w:r>
          </w:p>
        </w:tc>
        <w:tc>
          <w:tcPr>
            <w:tcW w:w="8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(4,506)</w:t>
            </w:r>
          </w:p>
        </w:tc>
        <w:tc>
          <w:tcPr>
            <w:tcW w:w="100" w:type="dxa"/>
            <w:vAlign w:val="bottom"/>
            <w:tcBorders>
              <w:bottom w:val="single" w:sz="8" w:color="CCEEFF"/>
              <w:right w:val="single" w:sz="8" w:color="auto"/>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bottom w:val="single" w:sz="8" w:color="auto"/>
              <w:right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1,034,924</w:t>
            </w:r>
          </w:p>
        </w:tc>
        <w:tc>
          <w:tcPr>
            <w:tcW w:w="6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bottom w:val="single" w:sz="8" w:color="auto"/>
            </w:tcBorders>
            <w:shd w:val="clear" w:color="auto" w:fill="CCEEFF"/>
          </w:tcPr>
          <w:p>
            <w:pPr>
              <w:ind w:left="300"/>
              <w:spacing w:after="0"/>
              <w:rPr>
                <w:sz w:val="20"/>
                <w:szCs w:val="20"/>
                <w:color w:val="auto"/>
              </w:rPr>
            </w:pPr>
            <w:r>
              <w:rPr>
                <w:rFonts w:ascii="Times New Roman" w:cs="Times New Roman" w:eastAsia="Times New Roman" w:hAnsi="Times New Roman"/>
                <w:sz w:val="14"/>
                <w:szCs w:val="14"/>
                <w:color w:val="auto"/>
              </w:rPr>
              <w:t>(4,041)</w:t>
            </w:r>
          </w:p>
        </w:tc>
        <w:tc>
          <w:tcPr>
            <w:tcW w:w="100" w:type="dxa"/>
            <w:vAlign w:val="bottom"/>
            <w:tcBorders>
              <w:bottom w:val="single" w:sz="8" w:color="CCEEFF"/>
              <w:right w:val="single" w:sz="8" w:color="auto"/>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bottom w:val="single" w:sz="8" w:color="auto"/>
              <w:right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1,030,883</w:t>
            </w:r>
          </w:p>
        </w:tc>
        <w:tc>
          <w:tcPr>
            <w:tcW w:w="0" w:type="dxa"/>
            <w:vAlign w:val="bottom"/>
          </w:tcPr>
          <w:p>
            <w:pPr>
              <w:spacing w:after="0"/>
              <w:rPr>
                <w:sz w:val="1"/>
                <w:szCs w:val="1"/>
                <w:color w:val="auto"/>
              </w:rPr>
            </w:pPr>
          </w:p>
        </w:tc>
      </w:tr>
      <w:tr>
        <w:trPr>
          <w:trHeight w:val="20"/>
        </w:trPr>
        <w:tc>
          <w:tcPr>
            <w:tcW w:w="346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Issuance and amortization of equity-based compensation</w:t>
            </w: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7"/>
        </w:trPr>
        <w:tc>
          <w:tcPr>
            <w:tcW w:w="3460" w:type="dxa"/>
            <w:vAlign w:val="bottom"/>
            <w:vMerge w:val="continue"/>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93</w:t>
            </w:r>
          </w:p>
        </w:tc>
        <w:tc>
          <w:tcPr>
            <w:tcW w:w="100" w:type="dxa"/>
            <w:vAlign w:val="bottom"/>
          </w:tcPr>
          <w:p>
            <w:pPr>
              <w:spacing w:after="0"/>
              <w:rPr>
                <w:sz w:val="14"/>
                <w:szCs w:val="14"/>
                <w:color w:val="auto"/>
              </w:rPr>
            </w:pPr>
          </w:p>
        </w:tc>
        <w:tc>
          <w:tcPr>
            <w:tcW w:w="1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tcPr>
          <w:p>
            <w:pPr>
              <w:spacing w:after="0"/>
              <w:rPr>
                <w:sz w:val="14"/>
                <w:szCs w:val="14"/>
                <w:color w:val="auto"/>
              </w:rPr>
            </w:pPr>
          </w:p>
        </w:tc>
        <w:tc>
          <w:tcPr>
            <w:tcW w:w="1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2,912</w:t>
            </w:r>
          </w:p>
        </w:tc>
        <w:tc>
          <w:tcPr>
            <w:tcW w:w="8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Borders>
              <w:right w:val="single" w:sz="8" w:color="auto"/>
            </w:tcBorders>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right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rPr>
              <w:t>2,913</w:t>
            </w:r>
          </w:p>
        </w:tc>
        <w:tc>
          <w:tcPr>
            <w:tcW w:w="60" w:type="dxa"/>
            <w:vAlign w:val="bottom"/>
          </w:tcPr>
          <w:p>
            <w:pPr>
              <w:spacing w:after="0"/>
              <w:rPr>
                <w:sz w:val="14"/>
                <w:szCs w:val="14"/>
                <w:color w:val="auto"/>
              </w:rPr>
            </w:pPr>
          </w:p>
        </w:tc>
        <w:tc>
          <w:tcPr>
            <w:tcW w:w="1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Borders>
              <w:right w:val="single" w:sz="8" w:color="auto"/>
            </w:tcBorders>
            <w:gridSpan w:val="2"/>
          </w:tcPr>
          <w:p>
            <w:pPr>
              <w:ind w:left="5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right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2,913</w:t>
            </w:r>
          </w:p>
        </w:tc>
        <w:tc>
          <w:tcPr>
            <w:tcW w:w="0" w:type="dxa"/>
            <w:vAlign w:val="bottom"/>
          </w:tcPr>
          <w:p>
            <w:pPr>
              <w:spacing w:after="0"/>
              <w:rPr>
                <w:sz w:val="1"/>
                <w:szCs w:val="1"/>
                <w:color w:val="auto"/>
              </w:rPr>
            </w:pPr>
          </w:p>
        </w:tc>
      </w:tr>
      <w:tr>
        <w:trPr>
          <w:trHeight w:val="23"/>
        </w:trPr>
        <w:tc>
          <w:tcPr>
            <w:tcW w:w="34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Borders>
              <w:right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Borders>
              <w:right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Borders>
              <w:right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700" w:type="dxa"/>
            <w:vAlign w:val="bottom"/>
            <w:tcBorders>
              <w:right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34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Repurchase of common stock</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(757)</w:t>
            </w:r>
          </w:p>
        </w:tc>
        <w:tc>
          <w:tcPr>
            <w:tcW w:w="1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(4,000)</w:t>
            </w:r>
          </w:p>
        </w:tc>
        <w:tc>
          <w:tcPr>
            <w:tcW w:w="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8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right w:val="single" w:sz="8" w:color="auto"/>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CCEEFF"/>
            </w:tcBorders>
            <w:shd w:val="clear" w:color="auto" w:fill="CCEEFF"/>
          </w:tcPr>
          <w:p>
            <w:pPr>
              <w:spacing w:after="0"/>
              <w:rPr>
                <w:sz w:val="17"/>
                <w:szCs w:val="17"/>
                <w:color w:val="auto"/>
              </w:rPr>
            </w:pPr>
          </w:p>
        </w:tc>
        <w:tc>
          <w:tcPr>
            <w:tcW w:w="720" w:type="dxa"/>
            <w:vAlign w:val="bottom"/>
            <w:tcBorders>
              <w:bottom w:val="single" w:sz="8" w:color="CCEEFF"/>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(4,008)</w:t>
            </w:r>
          </w:p>
        </w:tc>
        <w:tc>
          <w:tcPr>
            <w:tcW w:w="6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840" w:type="dxa"/>
            <w:vAlign w:val="bottom"/>
            <w:tcBorders>
              <w:bottom w:val="single" w:sz="8" w:color="CCEEFF"/>
              <w:right w:val="single" w:sz="8" w:color="auto"/>
            </w:tcBorders>
            <w:gridSpan w:val="2"/>
            <w:shd w:val="clear" w:color="auto" w:fill="CCEEFF"/>
          </w:tcPr>
          <w:p>
            <w:pPr>
              <w:ind w:left="5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shd w:val="clear" w:color="auto" w:fill="CCEEFF"/>
          </w:tcPr>
          <w:p>
            <w:pPr>
              <w:spacing w:after="0"/>
              <w:rPr>
                <w:sz w:val="17"/>
                <w:szCs w:val="17"/>
                <w:color w:val="auto"/>
              </w:rPr>
            </w:pPr>
          </w:p>
        </w:tc>
        <w:tc>
          <w:tcPr>
            <w:tcW w:w="700" w:type="dxa"/>
            <w:vAlign w:val="bottom"/>
            <w:tcBorders>
              <w:bottom w:val="single" w:sz="8" w:color="CCEEFF"/>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(4,008)</w:t>
            </w:r>
          </w:p>
        </w:tc>
        <w:tc>
          <w:tcPr>
            <w:tcW w:w="0" w:type="dxa"/>
            <w:vAlign w:val="bottom"/>
          </w:tcPr>
          <w:p>
            <w:pPr>
              <w:spacing w:after="0"/>
              <w:rPr>
                <w:sz w:val="1"/>
                <w:szCs w:val="1"/>
                <w:color w:val="auto"/>
              </w:rPr>
            </w:pPr>
          </w:p>
        </w:tc>
      </w:tr>
      <w:tr>
        <w:trPr>
          <w:trHeight w:val="193"/>
        </w:trPr>
        <w:tc>
          <w:tcPr>
            <w:tcW w:w="34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Other comprehensive income</w:t>
            </w: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4,506</w:t>
            </w:r>
          </w:p>
        </w:tc>
        <w:tc>
          <w:tcPr>
            <w:tcW w:w="100" w:type="dxa"/>
            <w:vAlign w:val="bottom"/>
            <w:tcBorders>
              <w:right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Borders>
              <w:right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rPr>
              <w:t>4,506</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Borders>
              <w:right w:val="single" w:sz="8" w:color="auto"/>
            </w:tcBorders>
            <w:gridSpan w:val="2"/>
          </w:tcPr>
          <w:p>
            <w:pPr>
              <w:ind w:left="5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700" w:type="dxa"/>
            <w:vAlign w:val="bottom"/>
            <w:tcBorders>
              <w:right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4,506</w:t>
            </w:r>
          </w:p>
        </w:tc>
        <w:tc>
          <w:tcPr>
            <w:tcW w:w="0" w:type="dxa"/>
            <w:vAlign w:val="bottom"/>
          </w:tcPr>
          <w:p>
            <w:pPr>
              <w:spacing w:after="0"/>
              <w:rPr>
                <w:sz w:val="1"/>
                <w:szCs w:val="1"/>
                <w:color w:val="auto"/>
              </w:rPr>
            </w:pPr>
          </w:p>
        </w:tc>
      </w:tr>
      <w:tr>
        <w:trPr>
          <w:trHeight w:val="23"/>
        </w:trPr>
        <w:tc>
          <w:tcPr>
            <w:tcW w:w="34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Borders>
              <w:right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Borders>
              <w:right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Borders>
              <w:right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700" w:type="dxa"/>
            <w:vAlign w:val="bottom"/>
            <w:tcBorders>
              <w:right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34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Dividends and distributions declared ($0.16 per share)</w:t>
            </w:r>
          </w:p>
        </w:tc>
        <w:tc>
          <w:tcPr>
            <w:tcW w:w="8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CCEEFF"/>
            </w:tcBorders>
            <w:shd w:val="clear" w:color="auto" w:fill="CCEEFF"/>
          </w:tcPr>
          <w:p>
            <w:pPr>
              <w:spacing w:after="0"/>
              <w:rPr>
                <w:sz w:val="17"/>
                <w:szCs w:val="17"/>
                <w:color w:val="auto"/>
              </w:rPr>
            </w:pPr>
          </w:p>
        </w:tc>
        <w:tc>
          <w:tcPr>
            <w:tcW w:w="7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7"/>
                <w:szCs w:val="17"/>
                <w:color w:val="auto"/>
              </w:rPr>
            </w:pPr>
          </w:p>
        </w:tc>
        <w:tc>
          <w:tcPr>
            <w:tcW w:w="8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(20,862)</w:t>
            </w:r>
          </w:p>
        </w:tc>
        <w:tc>
          <w:tcPr>
            <w:tcW w:w="8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right w:val="single" w:sz="8" w:color="auto"/>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CCEEFF"/>
            </w:tcBorders>
            <w:shd w:val="clear" w:color="auto" w:fill="CCEEFF"/>
          </w:tcPr>
          <w:p>
            <w:pPr>
              <w:spacing w:after="0"/>
              <w:rPr>
                <w:sz w:val="17"/>
                <w:szCs w:val="17"/>
                <w:color w:val="auto"/>
              </w:rPr>
            </w:pPr>
          </w:p>
        </w:tc>
        <w:tc>
          <w:tcPr>
            <w:tcW w:w="720" w:type="dxa"/>
            <w:vAlign w:val="bottom"/>
            <w:tcBorders>
              <w:bottom w:val="single" w:sz="8" w:color="CCEEFF"/>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(20,862)</w:t>
            </w:r>
          </w:p>
        </w:tc>
        <w:tc>
          <w:tcPr>
            <w:tcW w:w="6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840" w:type="dxa"/>
            <w:vAlign w:val="bottom"/>
            <w:tcBorders>
              <w:bottom w:val="single" w:sz="8" w:color="CCEEFF"/>
              <w:right w:val="single" w:sz="8" w:color="auto"/>
            </w:tcBorders>
            <w:gridSpan w:val="2"/>
            <w:shd w:val="clear" w:color="auto" w:fill="CCEEFF"/>
          </w:tcPr>
          <w:p>
            <w:pPr>
              <w:ind w:left="5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shd w:val="clear" w:color="auto" w:fill="CCEEFF"/>
          </w:tcPr>
          <w:p>
            <w:pPr>
              <w:spacing w:after="0"/>
              <w:rPr>
                <w:sz w:val="17"/>
                <w:szCs w:val="17"/>
                <w:color w:val="auto"/>
              </w:rPr>
            </w:pPr>
          </w:p>
        </w:tc>
        <w:tc>
          <w:tcPr>
            <w:tcW w:w="700" w:type="dxa"/>
            <w:vAlign w:val="bottom"/>
            <w:tcBorders>
              <w:bottom w:val="single" w:sz="8" w:color="CCEEFF"/>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(20,862)</w:t>
            </w:r>
          </w:p>
        </w:tc>
        <w:tc>
          <w:tcPr>
            <w:tcW w:w="0" w:type="dxa"/>
            <w:vAlign w:val="bottom"/>
          </w:tcPr>
          <w:p>
            <w:pPr>
              <w:spacing w:after="0"/>
              <w:rPr>
                <w:sz w:val="1"/>
                <w:szCs w:val="1"/>
                <w:color w:val="auto"/>
              </w:rPr>
            </w:pPr>
          </w:p>
        </w:tc>
      </w:tr>
      <w:tr>
        <w:trPr>
          <w:trHeight w:val="193"/>
        </w:trPr>
        <w:tc>
          <w:tcPr>
            <w:tcW w:w="34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loss</w:t>
            </w: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(23,118)</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00" w:type="dxa"/>
            <w:vAlign w:val="bottom"/>
            <w:tcBorders>
              <w:right w:val="single" w:sz="8" w:color="auto"/>
            </w:tcBorders>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72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(23,118)</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(2,054)</w:t>
            </w:r>
          </w:p>
        </w:tc>
        <w:tc>
          <w:tcPr>
            <w:tcW w:w="100" w:type="dxa"/>
            <w:vAlign w:val="bottom"/>
            <w:tcBorders>
              <w:right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(25,172)</w:t>
            </w:r>
          </w:p>
        </w:tc>
        <w:tc>
          <w:tcPr>
            <w:tcW w:w="0" w:type="dxa"/>
            <w:vAlign w:val="bottom"/>
          </w:tcPr>
          <w:p>
            <w:pPr>
              <w:spacing w:after="0"/>
              <w:rPr>
                <w:sz w:val="1"/>
                <w:szCs w:val="1"/>
                <w:color w:val="auto"/>
              </w:rPr>
            </w:pPr>
          </w:p>
        </w:tc>
      </w:tr>
      <w:tr>
        <w:trPr>
          <w:trHeight w:val="23"/>
        </w:trPr>
        <w:tc>
          <w:tcPr>
            <w:tcW w:w="3460" w:type="dxa"/>
            <w:vAlign w:val="bottom"/>
            <w:tcBorders>
              <w:bottom w:val="single" w:sz="8" w:color="CCEEFF"/>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right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20" w:type="dxa"/>
            <w:vAlign w:val="bottom"/>
            <w:tcBorders>
              <w:bottom w:val="single" w:sz="8" w:color="auto"/>
              <w:right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right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3"/>
        </w:trPr>
        <w:tc>
          <w:tcPr>
            <w:tcW w:w="34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as of June 30, 2025</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129,994</w:t>
            </w:r>
          </w:p>
        </w:tc>
        <w:tc>
          <w:tcPr>
            <w:tcW w:w="1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1,300</w:t>
            </w:r>
          </w:p>
        </w:tc>
        <w:tc>
          <w:tcPr>
            <w:tcW w:w="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2,864,578</w:t>
            </w:r>
          </w:p>
        </w:tc>
        <w:tc>
          <w:tcPr>
            <w:tcW w:w="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(1,871,523)</w:t>
            </w:r>
          </w:p>
        </w:tc>
        <w:tc>
          <w:tcPr>
            <w:tcW w:w="8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right w:val="single" w:sz="8" w:color="auto"/>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bottom w:val="single" w:sz="8" w:color="auto"/>
              <w:right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994,355</w:t>
            </w:r>
          </w:p>
        </w:tc>
        <w:tc>
          <w:tcPr>
            <w:tcW w:w="6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bottom w:val="single" w:sz="8" w:color="auto"/>
            </w:tcBorders>
            <w:shd w:val="clear" w:color="auto" w:fill="CCEEFF"/>
          </w:tcPr>
          <w:p>
            <w:pPr>
              <w:ind w:left="300"/>
              <w:spacing w:after="0"/>
              <w:rPr>
                <w:sz w:val="20"/>
                <w:szCs w:val="20"/>
                <w:color w:val="auto"/>
              </w:rPr>
            </w:pPr>
            <w:r>
              <w:rPr>
                <w:rFonts w:ascii="Times New Roman" w:cs="Times New Roman" w:eastAsia="Times New Roman" w:hAnsi="Times New Roman"/>
                <w:sz w:val="14"/>
                <w:szCs w:val="14"/>
                <w:color w:val="auto"/>
              </w:rPr>
              <w:t>(6,095)</w:t>
            </w:r>
          </w:p>
        </w:tc>
        <w:tc>
          <w:tcPr>
            <w:tcW w:w="100" w:type="dxa"/>
            <w:vAlign w:val="bottom"/>
            <w:tcBorders>
              <w:bottom w:val="single" w:sz="8" w:color="CCEEFF"/>
              <w:right w:val="single" w:sz="8" w:color="auto"/>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bottom w:val="single" w:sz="8" w:color="auto"/>
              <w:right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988,260</w:t>
            </w:r>
          </w:p>
        </w:tc>
        <w:tc>
          <w:tcPr>
            <w:tcW w:w="0" w:type="dxa"/>
            <w:vAlign w:val="bottom"/>
          </w:tcPr>
          <w:p>
            <w:pPr>
              <w:spacing w:after="0"/>
              <w:rPr>
                <w:sz w:val="1"/>
                <w:szCs w:val="1"/>
                <w:color w:val="auto"/>
              </w:rPr>
            </w:pPr>
          </w:p>
        </w:tc>
      </w:tr>
      <w:tr>
        <w:trPr>
          <w:trHeight w:val="20"/>
        </w:trPr>
        <w:tc>
          <w:tcPr>
            <w:tcW w:w="346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Issuance and amortization of equity-based compensation</w:t>
            </w: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7"/>
        </w:trPr>
        <w:tc>
          <w:tcPr>
            <w:tcW w:w="3460" w:type="dxa"/>
            <w:vAlign w:val="bottom"/>
            <w:vMerge w:val="continue"/>
          </w:tcPr>
          <w:p>
            <w:pPr>
              <w:spacing w:after="0"/>
              <w:rPr>
                <w:sz w:val="14"/>
                <w:szCs w:val="14"/>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2,927</w:t>
            </w:r>
          </w:p>
        </w:tc>
        <w:tc>
          <w:tcPr>
            <w:tcW w:w="8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Borders>
              <w:right w:val="single" w:sz="8" w:color="auto"/>
            </w:tcBorders>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right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rPr>
              <w:t>2,927</w:t>
            </w:r>
          </w:p>
        </w:tc>
        <w:tc>
          <w:tcPr>
            <w:tcW w:w="60" w:type="dxa"/>
            <w:vAlign w:val="bottom"/>
          </w:tcPr>
          <w:p>
            <w:pPr>
              <w:spacing w:after="0"/>
              <w:rPr>
                <w:sz w:val="14"/>
                <w:szCs w:val="14"/>
                <w:color w:val="auto"/>
              </w:rPr>
            </w:pPr>
          </w:p>
        </w:tc>
        <w:tc>
          <w:tcPr>
            <w:tcW w:w="1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Borders>
              <w:right w:val="single" w:sz="8" w:color="auto"/>
            </w:tcBorders>
            <w:gridSpan w:val="2"/>
          </w:tcPr>
          <w:p>
            <w:pPr>
              <w:ind w:left="5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right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2,927</w:t>
            </w:r>
          </w:p>
        </w:tc>
        <w:tc>
          <w:tcPr>
            <w:tcW w:w="0" w:type="dxa"/>
            <w:vAlign w:val="bottom"/>
          </w:tcPr>
          <w:p>
            <w:pPr>
              <w:spacing w:after="0"/>
              <w:rPr>
                <w:sz w:val="1"/>
                <w:szCs w:val="1"/>
                <w:color w:val="auto"/>
              </w:rPr>
            </w:pPr>
          </w:p>
        </w:tc>
      </w:tr>
      <w:tr>
        <w:trPr>
          <w:trHeight w:val="23"/>
        </w:trPr>
        <w:tc>
          <w:tcPr>
            <w:tcW w:w="34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Borders>
              <w:right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Borders>
              <w:right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Borders>
              <w:right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700" w:type="dxa"/>
            <w:vAlign w:val="bottom"/>
            <w:tcBorders>
              <w:right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34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Share forfeitures</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w:t>
            </w:r>
          </w:p>
        </w:tc>
        <w:tc>
          <w:tcPr>
            <w:tcW w:w="1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7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7"/>
                <w:szCs w:val="17"/>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(133)</w:t>
            </w:r>
          </w:p>
        </w:tc>
        <w:tc>
          <w:tcPr>
            <w:tcW w:w="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8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right w:val="single" w:sz="8" w:color="auto"/>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CCEEFF"/>
            </w:tcBorders>
            <w:shd w:val="clear" w:color="auto" w:fill="CCEEFF"/>
          </w:tcPr>
          <w:p>
            <w:pPr>
              <w:spacing w:after="0"/>
              <w:rPr>
                <w:sz w:val="17"/>
                <w:szCs w:val="17"/>
                <w:color w:val="auto"/>
              </w:rPr>
            </w:pPr>
          </w:p>
        </w:tc>
        <w:tc>
          <w:tcPr>
            <w:tcW w:w="720" w:type="dxa"/>
            <w:vAlign w:val="bottom"/>
            <w:tcBorders>
              <w:bottom w:val="single" w:sz="8" w:color="CCEEFF"/>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(133)</w:t>
            </w:r>
          </w:p>
        </w:tc>
        <w:tc>
          <w:tcPr>
            <w:tcW w:w="6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840" w:type="dxa"/>
            <w:vAlign w:val="bottom"/>
            <w:tcBorders>
              <w:bottom w:val="single" w:sz="8" w:color="CCEEFF"/>
              <w:right w:val="single" w:sz="8" w:color="auto"/>
            </w:tcBorders>
            <w:gridSpan w:val="2"/>
            <w:shd w:val="clear" w:color="auto" w:fill="CCEEFF"/>
          </w:tcPr>
          <w:p>
            <w:pPr>
              <w:ind w:left="5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shd w:val="clear" w:color="auto" w:fill="CCEEFF"/>
          </w:tcPr>
          <w:p>
            <w:pPr>
              <w:spacing w:after="0"/>
              <w:rPr>
                <w:sz w:val="17"/>
                <w:szCs w:val="17"/>
                <w:color w:val="auto"/>
              </w:rPr>
            </w:pPr>
          </w:p>
        </w:tc>
        <w:tc>
          <w:tcPr>
            <w:tcW w:w="700" w:type="dxa"/>
            <w:vAlign w:val="bottom"/>
            <w:tcBorders>
              <w:bottom w:val="single" w:sz="8" w:color="CCEEFF"/>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(133)</w:t>
            </w:r>
          </w:p>
        </w:tc>
        <w:tc>
          <w:tcPr>
            <w:tcW w:w="0" w:type="dxa"/>
            <w:vAlign w:val="bottom"/>
          </w:tcPr>
          <w:p>
            <w:pPr>
              <w:spacing w:after="0"/>
              <w:rPr>
                <w:sz w:val="1"/>
                <w:szCs w:val="1"/>
                <w:color w:val="auto"/>
              </w:rPr>
            </w:pPr>
          </w:p>
        </w:tc>
      </w:tr>
      <w:tr>
        <w:trPr>
          <w:trHeight w:val="193"/>
        </w:trPr>
        <w:tc>
          <w:tcPr>
            <w:tcW w:w="34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Repurchase of common stock</w:t>
            </w: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(181)</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(961)</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900" w:type="dxa"/>
            <w:vAlign w:val="bottom"/>
            <w:tcBorders>
              <w:right w:val="single" w:sz="8" w:color="auto"/>
            </w:tcBorders>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72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(964)</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Borders>
              <w:right w:val="single" w:sz="8" w:color="auto"/>
            </w:tcBorders>
            <w:gridSpan w:val="2"/>
          </w:tcPr>
          <w:p>
            <w:pPr>
              <w:ind w:left="5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70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(964)</w:t>
            </w:r>
          </w:p>
        </w:tc>
        <w:tc>
          <w:tcPr>
            <w:tcW w:w="0" w:type="dxa"/>
            <w:vAlign w:val="bottom"/>
          </w:tcPr>
          <w:p>
            <w:pPr>
              <w:spacing w:after="0"/>
              <w:rPr>
                <w:sz w:val="1"/>
                <w:szCs w:val="1"/>
                <w:color w:val="auto"/>
              </w:rPr>
            </w:pPr>
          </w:p>
        </w:tc>
      </w:tr>
      <w:tr>
        <w:trPr>
          <w:trHeight w:val="23"/>
        </w:trPr>
        <w:tc>
          <w:tcPr>
            <w:tcW w:w="34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Borders>
              <w:right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Borders>
              <w:right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Borders>
              <w:right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700" w:type="dxa"/>
            <w:vAlign w:val="bottom"/>
            <w:tcBorders>
              <w:right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34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Dividends and distributions declared ($0.16 per share)</w:t>
            </w:r>
          </w:p>
        </w:tc>
        <w:tc>
          <w:tcPr>
            <w:tcW w:w="8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CCEEFF"/>
            </w:tcBorders>
            <w:shd w:val="clear" w:color="auto" w:fill="CCEEFF"/>
          </w:tcPr>
          <w:p>
            <w:pPr>
              <w:spacing w:after="0"/>
              <w:rPr>
                <w:sz w:val="17"/>
                <w:szCs w:val="17"/>
                <w:color w:val="auto"/>
              </w:rPr>
            </w:pPr>
          </w:p>
        </w:tc>
        <w:tc>
          <w:tcPr>
            <w:tcW w:w="7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7"/>
                <w:szCs w:val="17"/>
                <w:color w:val="auto"/>
              </w:rPr>
            </w:pPr>
          </w:p>
        </w:tc>
        <w:tc>
          <w:tcPr>
            <w:tcW w:w="8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(20,756)</w:t>
            </w:r>
          </w:p>
        </w:tc>
        <w:tc>
          <w:tcPr>
            <w:tcW w:w="8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right w:val="single" w:sz="8" w:color="auto"/>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CCEEFF"/>
            </w:tcBorders>
            <w:shd w:val="clear" w:color="auto" w:fill="CCEEFF"/>
          </w:tcPr>
          <w:p>
            <w:pPr>
              <w:spacing w:after="0"/>
              <w:rPr>
                <w:sz w:val="17"/>
                <w:szCs w:val="17"/>
                <w:color w:val="auto"/>
              </w:rPr>
            </w:pPr>
          </w:p>
        </w:tc>
        <w:tc>
          <w:tcPr>
            <w:tcW w:w="720" w:type="dxa"/>
            <w:vAlign w:val="bottom"/>
            <w:tcBorders>
              <w:bottom w:val="single" w:sz="8" w:color="CCEEFF"/>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(20,756)</w:t>
            </w:r>
          </w:p>
        </w:tc>
        <w:tc>
          <w:tcPr>
            <w:tcW w:w="6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840" w:type="dxa"/>
            <w:vAlign w:val="bottom"/>
            <w:tcBorders>
              <w:bottom w:val="single" w:sz="8" w:color="CCEEFF"/>
              <w:right w:val="single" w:sz="8" w:color="auto"/>
            </w:tcBorders>
            <w:gridSpan w:val="2"/>
            <w:shd w:val="clear" w:color="auto" w:fill="CCEEFF"/>
          </w:tcPr>
          <w:p>
            <w:pPr>
              <w:ind w:left="5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shd w:val="clear" w:color="auto" w:fill="CCEEFF"/>
          </w:tcPr>
          <w:p>
            <w:pPr>
              <w:spacing w:after="0"/>
              <w:rPr>
                <w:sz w:val="17"/>
                <w:szCs w:val="17"/>
                <w:color w:val="auto"/>
              </w:rPr>
            </w:pPr>
          </w:p>
        </w:tc>
        <w:tc>
          <w:tcPr>
            <w:tcW w:w="700" w:type="dxa"/>
            <w:vAlign w:val="bottom"/>
            <w:tcBorders>
              <w:bottom w:val="single" w:sz="8" w:color="CCEEFF"/>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(20,756)</w:t>
            </w:r>
          </w:p>
        </w:tc>
        <w:tc>
          <w:tcPr>
            <w:tcW w:w="0" w:type="dxa"/>
            <w:vAlign w:val="bottom"/>
          </w:tcPr>
          <w:p>
            <w:pPr>
              <w:spacing w:after="0"/>
              <w:rPr>
                <w:sz w:val="1"/>
                <w:szCs w:val="1"/>
                <w:color w:val="auto"/>
              </w:rPr>
            </w:pPr>
          </w:p>
        </w:tc>
      </w:tr>
      <w:tr>
        <w:trPr>
          <w:trHeight w:val="193"/>
        </w:trPr>
        <w:tc>
          <w:tcPr>
            <w:tcW w:w="34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income (loss)</w:t>
            </w: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74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984</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00" w:type="dxa"/>
            <w:vAlign w:val="bottom"/>
            <w:tcBorders>
              <w:right w:val="single" w:sz="8" w:color="auto"/>
            </w:tcBorders>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720" w:type="dxa"/>
            <w:vAlign w:val="bottom"/>
            <w:tcBorders>
              <w:right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rPr>
              <w:t>984</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(2,288)</w:t>
            </w:r>
          </w:p>
        </w:tc>
        <w:tc>
          <w:tcPr>
            <w:tcW w:w="100" w:type="dxa"/>
            <w:vAlign w:val="bottom"/>
            <w:tcBorders>
              <w:right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(1,304)</w:t>
            </w:r>
          </w:p>
        </w:tc>
        <w:tc>
          <w:tcPr>
            <w:tcW w:w="0" w:type="dxa"/>
            <w:vAlign w:val="bottom"/>
          </w:tcPr>
          <w:p>
            <w:pPr>
              <w:spacing w:after="0"/>
              <w:rPr>
                <w:sz w:val="1"/>
                <w:szCs w:val="1"/>
                <w:color w:val="auto"/>
              </w:rPr>
            </w:pPr>
          </w:p>
        </w:tc>
      </w:tr>
      <w:tr>
        <w:trPr>
          <w:trHeight w:val="23"/>
        </w:trPr>
        <w:tc>
          <w:tcPr>
            <w:tcW w:w="3460" w:type="dxa"/>
            <w:vAlign w:val="bottom"/>
            <w:tcBorders>
              <w:bottom w:val="single" w:sz="8" w:color="CCEEFF"/>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right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20" w:type="dxa"/>
            <w:vAlign w:val="bottom"/>
            <w:tcBorders>
              <w:bottom w:val="single" w:sz="8" w:color="auto"/>
              <w:right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right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9"/>
        </w:trPr>
        <w:tc>
          <w:tcPr>
            <w:tcW w:w="3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as of September 30, 2025</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129,733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1,297</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2,866,411</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(1,891,295)</w:t>
            </w: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Borders>
              <w:right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right w:val="single" w:sz="8" w:color="CCEEFF"/>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976,413</w:t>
            </w: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4"/>
                <w:szCs w:val="14"/>
                <w:color w:val="auto"/>
              </w:rPr>
              <w:t>(8,383)</w:t>
            </w:r>
          </w:p>
        </w:tc>
        <w:tc>
          <w:tcPr>
            <w:tcW w:w="100" w:type="dxa"/>
            <w:vAlign w:val="bottom"/>
            <w:tcBorders>
              <w:right w:val="single" w:sz="8" w:color="CCEEFF"/>
            </w:tcBorders>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right w:val="single" w:sz="8" w:color="CCEEFF"/>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968,030</w:t>
            </w:r>
          </w:p>
        </w:tc>
        <w:tc>
          <w:tcPr>
            <w:tcW w:w="0" w:type="dxa"/>
            <w:vAlign w:val="bottom"/>
          </w:tcPr>
          <w:p>
            <w:pPr>
              <w:spacing w:after="0"/>
              <w:rPr>
                <w:sz w:val="1"/>
                <w:szCs w:val="1"/>
                <w:color w:val="auto"/>
              </w:rPr>
            </w:pPr>
          </w:p>
        </w:tc>
      </w:tr>
      <w:tr>
        <w:trPr>
          <w:trHeight w:val="20"/>
        </w:trPr>
        <w:tc>
          <w:tcPr>
            <w:tcW w:w="346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20"/>
          </w:cols>
          <w:pgMar w:left="320" w:top="121" w:right="55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639"/>
        <w:spacing w:after="0"/>
        <w:rPr>
          <w:sz w:val="20"/>
          <w:szCs w:val="20"/>
          <w:color w:val="auto"/>
        </w:rPr>
      </w:pPr>
      <w:r>
        <w:rPr>
          <w:rFonts w:ascii="Times New Roman" w:cs="Times New Roman" w:eastAsia="Times New Roman" w:hAnsi="Times New Roman"/>
          <w:sz w:val="18"/>
          <w:szCs w:val="18"/>
          <w:b w:val="1"/>
          <w:bCs w:val="1"/>
          <w:color w:val="auto"/>
        </w:rPr>
        <w:t>BRIGHTSPIRE CAPITAL, INC.</w:t>
      </w:r>
    </w:p>
    <w:p>
      <w:pPr>
        <w:spacing w:after="0" w:line="31" w:lineRule="exact"/>
        <w:rPr>
          <w:sz w:val="20"/>
          <w:szCs w:val="20"/>
          <w:color w:val="auto"/>
        </w:rPr>
      </w:pPr>
    </w:p>
    <w:p>
      <w:pPr>
        <w:jc w:val="center"/>
        <w:ind w:right="-639"/>
        <w:spacing w:after="0"/>
        <w:rPr>
          <w:sz w:val="20"/>
          <w:szCs w:val="20"/>
          <w:color w:val="auto"/>
        </w:rPr>
      </w:pPr>
      <w:r>
        <w:rPr>
          <w:rFonts w:ascii="Times New Roman" w:cs="Times New Roman" w:eastAsia="Times New Roman" w:hAnsi="Times New Roman"/>
          <w:sz w:val="18"/>
          <w:szCs w:val="18"/>
          <w:b w:val="1"/>
          <w:bCs w:val="1"/>
          <w:color w:val="auto"/>
        </w:rPr>
        <w:t>CONSOLIDATED STATEMENTS OF EQUITY (Continued)</w:t>
      </w:r>
    </w:p>
    <w:p>
      <w:pPr>
        <w:spacing w:after="0" w:line="9" w:lineRule="exact"/>
        <w:rPr>
          <w:sz w:val="20"/>
          <w:szCs w:val="20"/>
          <w:color w:val="auto"/>
        </w:rPr>
      </w:pPr>
    </w:p>
    <w:p>
      <w:pPr>
        <w:jc w:val="center"/>
        <w:ind w:right="-639"/>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9" w:lineRule="exact"/>
        <w:rPr>
          <w:sz w:val="20"/>
          <w:szCs w:val="20"/>
          <w:color w:val="auto"/>
        </w:rPr>
      </w:pPr>
    </w:p>
    <w:p>
      <w:pPr>
        <w:jc w:val="center"/>
        <w:ind w:right="-63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59" w:lineRule="exact"/>
        <w:rPr>
          <w:sz w:val="20"/>
          <w:szCs w:val="20"/>
          <w:color w:val="auto"/>
        </w:rPr>
      </w:pPr>
    </w:p>
    <w:tbl>
      <w:tblPr>
        <w:tblLayout w:type="fixed"/>
        <w:tblInd w:w="660" w:type="dxa"/>
        <w:tblCellMar>
          <w:top w:w="0" w:type="dxa"/>
          <w:left w:w="0" w:type="dxa"/>
          <w:bottom w:w="0" w:type="dxa"/>
          <w:right w:w="0" w:type="dxa"/>
        </w:tblCellMar>
      </w:tblPr>
      <w:tr>
        <w:trPr>
          <w:trHeight w:val="210"/>
        </w:trPr>
        <w:tc>
          <w:tcPr>
            <w:tcW w:w="3480" w:type="dxa"/>
            <w:vAlign w:val="bottom"/>
          </w:tcPr>
          <w:p>
            <w:pPr>
              <w:spacing w:after="0"/>
              <w:rPr>
                <w:sz w:val="18"/>
                <w:szCs w:val="18"/>
                <w:color w:val="auto"/>
              </w:rPr>
            </w:pPr>
          </w:p>
        </w:tc>
        <w:tc>
          <w:tcPr>
            <w:tcW w:w="1760" w:type="dxa"/>
            <w:vAlign w:val="bottom"/>
            <w:gridSpan w:val="5"/>
          </w:tcPr>
          <w:p>
            <w:pPr>
              <w:ind w:left="420"/>
              <w:spacing w:after="0"/>
              <w:rPr>
                <w:sz w:val="20"/>
                <w:szCs w:val="20"/>
                <w:color w:val="auto"/>
              </w:rPr>
            </w:pPr>
            <w:r>
              <w:rPr>
                <w:rFonts w:ascii="Times New Roman" w:cs="Times New Roman" w:eastAsia="Times New Roman" w:hAnsi="Times New Roman"/>
                <w:sz w:val="13"/>
                <w:szCs w:val="13"/>
                <w:b w:val="1"/>
                <w:bCs w:val="1"/>
                <w:color w:val="auto"/>
              </w:rPr>
              <w:t>Common Stock</w:t>
            </w: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Borders>
              <w:right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740" w:type="dxa"/>
            <w:vAlign w:val="bottom"/>
            <w:tcBorders>
              <w:top w:val="single" w:sz="8" w:color="auto"/>
              <w:right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640" w:type="dxa"/>
            <w:vAlign w:val="bottom"/>
            <w:tcBorders>
              <w:top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48"/>
        </w:trPr>
        <w:tc>
          <w:tcPr>
            <w:tcW w:w="3480" w:type="dxa"/>
            <w:vAlign w:val="bottom"/>
          </w:tcPr>
          <w:p>
            <w:pPr>
              <w:spacing w:after="0"/>
              <w:rPr>
                <w:sz w:val="12"/>
                <w:szCs w:val="12"/>
                <w:color w:val="auto"/>
              </w:rPr>
            </w:pPr>
          </w:p>
        </w:tc>
        <w:tc>
          <w:tcPr>
            <w:tcW w:w="1060" w:type="dxa"/>
            <w:vAlign w:val="bottom"/>
            <w:tcBorders>
              <w:top w:val="single" w:sz="8" w:color="auto"/>
            </w:tcBorders>
            <w:gridSpan w:val="3"/>
          </w:tcPr>
          <w:p>
            <w:pPr>
              <w:jc w:val="right"/>
              <w:spacing w:after="0"/>
              <w:rPr>
                <w:sz w:val="20"/>
                <w:szCs w:val="20"/>
                <w:color w:val="auto"/>
              </w:rPr>
            </w:pPr>
            <w:r>
              <w:rPr>
                <w:rFonts w:ascii="Times New Roman" w:cs="Times New Roman" w:eastAsia="Times New Roman" w:hAnsi="Times New Roman"/>
                <w:sz w:val="13"/>
                <w:szCs w:val="13"/>
                <w:b w:val="1"/>
                <w:bCs w:val="1"/>
                <w:color w:val="auto"/>
              </w:rPr>
              <w:t>Class A</w:t>
            </w:r>
          </w:p>
        </w:tc>
        <w:tc>
          <w:tcPr>
            <w:tcW w:w="62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Borders>
              <w:right w:val="single" w:sz="8" w:color="auto"/>
            </w:tcBorders>
            <w:gridSpan w:val="2"/>
          </w:tcPr>
          <w:p>
            <w:pPr>
              <w:jc w:val="center"/>
              <w:ind w:right="300"/>
              <w:spacing w:after="0"/>
              <w:rPr>
                <w:sz w:val="20"/>
                <w:szCs w:val="20"/>
                <w:color w:val="auto"/>
              </w:rPr>
            </w:pPr>
            <w:r>
              <w:rPr>
                <w:rFonts w:ascii="Times New Roman" w:cs="Times New Roman" w:eastAsia="Times New Roman" w:hAnsi="Times New Roman"/>
                <w:sz w:val="13"/>
                <w:szCs w:val="13"/>
                <w:b w:val="1"/>
                <w:bCs w:val="1"/>
                <w:color w:val="auto"/>
                <w:w w:val="96"/>
              </w:rPr>
              <w:t>Retained</w:t>
            </w:r>
          </w:p>
        </w:tc>
        <w:tc>
          <w:tcPr>
            <w:tcW w:w="160" w:type="dxa"/>
            <w:vAlign w:val="bottom"/>
          </w:tcPr>
          <w:p>
            <w:pPr>
              <w:spacing w:after="0"/>
              <w:rPr>
                <w:sz w:val="12"/>
                <w:szCs w:val="12"/>
                <w:color w:val="auto"/>
              </w:rPr>
            </w:pPr>
          </w:p>
        </w:tc>
        <w:tc>
          <w:tcPr>
            <w:tcW w:w="740" w:type="dxa"/>
            <w:vAlign w:val="bottom"/>
            <w:tcBorders>
              <w:right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980" w:type="dxa"/>
            <w:vAlign w:val="bottom"/>
            <w:tcBorders>
              <w:right w:val="single" w:sz="8" w:color="auto"/>
            </w:tcBorders>
            <w:gridSpan w:val="3"/>
          </w:tcPr>
          <w:p>
            <w:pPr>
              <w:ind w:left="20"/>
              <w:spacing w:after="0"/>
              <w:rPr>
                <w:sz w:val="20"/>
                <w:szCs w:val="20"/>
                <w:color w:val="auto"/>
              </w:rPr>
            </w:pPr>
            <w:r>
              <w:rPr>
                <w:rFonts w:ascii="Times New Roman" w:cs="Times New Roman" w:eastAsia="Times New Roman" w:hAnsi="Times New Roman"/>
                <w:sz w:val="13"/>
                <w:szCs w:val="13"/>
                <w:b w:val="1"/>
                <w:bCs w:val="1"/>
                <w:color w:val="auto"/>
              </w:rPr>
              <w:t>Noncontrolling</w:t>
            </w:r>
          </w:p>
        </w:tc>
        <w:tc>
          <w:tcPr>
            <w:tcW w:w="160" w:type="dxa"/>
            <w:vAlign w:val="bottom"/>
          </w:tcPr>
          <w:p>
            <w:pPr>
              <w:spacing w:after="0"/>
              <w:rPr>
                <w:sz w:val="12"/>
                <w:szCs w:val="12"/>
                <w:color w:val="auto"/>
              </w:rPr>
            </w:pPr>
          </w:p>
        </w:tc>
        <w:tc>
          <w:tcPr>
            <w:tcW w:w="64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54"/>
        </w:trPr>
        <w:tc>
          <w:tcPr>
            <w:tcW w:w="3480" w:type="dxa"/>
            <w:vAlign w:val="bottom"/>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62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760" w:type="dxa"/>
            <w:vAlign w:val="bottom"/>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900" w:type="dxa"/>
            <w:vAlign w:val="bottom"/>
            <w:tcBorders>
              <w:right w:val="single" w:sz="8" w:color="auto"/>
            </w:tcBorders>
            <w:gridSpan w:val="2"/>
            <w:vMerge w:val="restart"/>
          </w:tcPr>
          <w:p>
            <w:pPr>
              <w:jc w:val="center"/>
              <w:ind w:right="300"/>
              <w:spacing w:after="0" w:line="122" w:lineRule="exact"/>
              <w:rPr>
                <w:sz w:val="20"/>
                <w:szCs w:val="20"/>
                <w:color w:val="auto"/>
              </w:rPr>
            </w:pPr>
            <w:r>
              <w:rPr>
                <w:rFonts w:ascii="Times New Roman" w:cs="Times New Roman" w:eastAsia="Times New Roman" w:hAnsi="Times New Roman"/>
                <w:sz w:val="13"/>
                <w:szCs w:val="13"/>
                <w:b w:val="1"/>
                <w:bCs w:val="1"/>
                <w:color w:val="auto"/>
                <w:w w:val="94"/>
              </w:rPr>
              <w:t>Earnings</w:t>
            </w:r>
          </w:p>
        </w:tc>
        <w:tc>
          <w:tcPr>
            <w:tcW w:w="160" w:type="dxa"/>
            <w:vAlign w:val="bottom"/>
          </w:tcPr>
          <w:p>
            <w:pPr>
              <w:spacing w:after="0"/>
              <w:rPr>
                <w:sz w:val="4"/>
                <w:szCs w:val="4"/>
                <w:color w:val="auto"/>
              </w:rPr>
            </w:pPr>
          </w:p>
        </w:tc>
        <w:tc>
          <w:tcPr>
            <w:tcW w:w="740" w:type="dxa"/>
            <w:vAlign w:val="bottom"/>
            <w:tcBorders>
              <w:right w:val="single" w:sz="8" w:color="auto"/>
            </w:tcBorders>
            <w:vMerge w:val="restart"/>
          </w:tcPr>
          <w:p>
            <w:pPr>
              <w:jc w:val="center"/>
              <w:ind w:right="129"/>
              <w:spacing w:after="0" w:line="122" w:lineRule="exact"/>
              <w:rPr>
                <w:sz w:val="20"/>
                <w:szCs w:val="20"/>
                <w:color w:val="auto"/>
              </w:rPr>
            </w:pPr>
            <w:r>
              <w:rPr>
                <w:rFonts w:ascii="Times New Roman" w:cs="Times New Roman" w:eastAsia="Times New Roman" w:hAnsi="Times New Roman"/>
                <w:sz w:val="13"/>
                <w:szCs w:val="13"/>
                <w:b w:val="1"/>
                <w:bCs w:val="1"/>
                <w:color w:val="auto"/>
                <w:w w:val="87"/>
              </w:rPr>
              <w:t>Total</w:t>
            </w:r>
          </w:p>
        </w:tc>
        <w:tc>
          <w:tcPr>
            <w:tcW w:w="40" w:type="dxa"/>
            <w:vAlign w:val="bottom"/>
            <w:vMerge w:val="restart"/>
          </w:tcPr>
          <w:p>
            <w:pPr>
              <w:spacing w:after="0"/>
              <w:rPr>
                <w:sz w:val="4"/>
                <w:szCs w:val="4"/>
                <w:color w:val="auto"/>
              </w:rPr>
            </w:pPr>
          </w:p>
        </w:tc>
        <w:tc>
          <w:tcPr>
            <w:tcW w:w="120" w:type="dxa"/>
            <w:vAlign w:val="bottom"/>
          </w:tcPr>
          <w:p>
            <w:pPr>
              <w:spacing w:after="0"/>
              <w:rPr>
                <w:sz w:val="4"/>
                <w:szCs w:val="4"/>
                <w:color w:val="auto"/>
              </w:rPr>
            </w:pPr>
          </w:p>
        </w:tc>
        <w:tc>
          <w:tcPr>
            <w:tcW w:w="860" w:type="dxa"/>
            <w:vAlign w:val="bottom"/>
            <w:tcBorders>
              <w:right w:val="single" w:sz="8" w:color="auto"/>
            </w:tcBorders>
            <w:gridSpan w:val="2"/>
            <w:vMerge w:val="restart"/>
          </w:tcPr>
          <w:p>
            <w:pPr>
              <w:jc w:val="center"/>
              <w:ind w:right="240"/>
              <w:spacing w:after="0" w:line="122" w:lineRule="exact"/>
              <w:rPr>
                <w:sz w:val="20"/>
                <w:szCs w:val="20"/>
                <w:color w:val="auto"/>
              </w:rPr>
            </w:pPr>
            <w:r>
              <w:rPr>
                <w:rFonts w:ascii="Times New Roman" w:cs="Times New Roman" w:eastAsia="Times New Roman" w:hAnsi="Times New Roman"/>
                <w:sz w:val="13"/>
                <w:szCs w:val="13"/>
                <w:b w:val="1"/>
                <w:bCs w:val="1"/>
                <w:color w:val="auto"/>
                <w:w w:val="99"/>
              </w:rPr>
              <w:t>Interests in</w:t>
            </w:r>
          </w:p>
        </w:tc>
        <w:tc>
          <w:tcPr>
            <w:tcW w:w="160" w:type="dxa"/>
            <w:vAlign w:val="bottom"/>
          </w:tcPr>
          <w:p>
            <w:pPr>
              <w:spacing w:after="0"/>
              <w:rPr>
                <w:sz w:val="4"/>
                <w:szCs w:val="4"/>
                <w:color w:val="auto"/>
              </w:rPr>
            </w:pPr>
          </w:p>
        </w:tc>
        <w:tc>
          <w:tcPr>
            <w:tcW w:w="64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48"/>
        </w:trPr>
        <w:tc>
          <w:tcPr>
            <w:tcW w:w="3480" w:type="dxa"/>
            <w:vAlign w:val="bottom"/>
          </w:tcPr>
          <w:p>
            <w:pPr>
              <w:spacing w:after="0"/>
              <w:rPr>
                <w:sz w:val="4"/>
                <w:szCs w:val="4"/>
                <w:color w:val="auto"/>
              </w:rPr>
            </w:pPr>
          </w:p>
        </w:tc>
        <w:tc>
          <w:tcPr>
            <w:tcW w:w="800" w:type="dxa"/>
            <w:vAlign w:val="bottom"/>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620" w:type="dxa"/>
            <w:vAlign w:val="bottom"/>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760" w:type="dxa"/>
            <w:vAlign w:val="bottom"/>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900" w:type="dxa"/>
            <w:vAlign w:val="bottom"/>
            <w:tcBorders>
              <w:right w:val="single" w:sz="8" w:color="auto"/>
            </w:tcBorders>
            <w:gridSpan w:val="2"/>
            <w:vMerge w:val="continue"/>
          </w:tcPr>
          <w:p>
            <w:pPr>
              <w:spacing w:after="0"/>
              <w:rPr>
                <w:sz w:val="4"/>
                <w:szCs w:val="4"/>
                <w:color w:val="auto"/>
              </w:rPr>
            </w:pPr>
          </w:p>
        </w:tc>
        <w:tc>
          <w:tcPr>
            <w:tcW w:w="160" w:type="dxa"/>
            <w:vAlign w:val="bottom"/>
          </w:tcPr>
          <w:p>
            <w:pPr>
              <w:spacing w:after="0"/>
              <w:rPr>
                <w:sz w:val="4"/>
                <w:szCs w:val="4"/>
                <w:color w:val="auto"/>
              </w:rPr>
            </w:pPr>
          </w:p>
        </w:tc>
        <w:tc>
          <w:tcPr>
            <w:tcW w:w="740" w:type="dxa"/>
            <w:vAlign w:val="bottom"/>
            <w:tcBorders>
              <w:right w:val="single" w:sz="8" w:color="auto"/>
            </w:tcBorders>
            <w:vMerge w:val="continue"/>
          </w:tcPr>
          <w:p>
            <w:pPr>
              <w:spacing w:after="0"/>
              <w:rPr>
                <w:sz w:val="4"/>
                <w:szCs w:val="4"/>
                <w:color w:val="auto"/>
              </w:rPr>
            </w:pPr>
          </w:p>
        </w:tc>
        <w:tc>
          <w:tcPr>
            <w:tcW w:w="4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860" w:type="dxa"/>
            <w:vAlign w:val="bottom"/>
            <w:tcBorders>
              <w:right w:val="single" w:sz="8" w:color="auto"/>
            </w:tcBorders>
            <w:gridSpan w:val="2"/>
            <w:vMerge w:val="continue"/>
          </w:tcPr>
          <w:p>
            <w:pPr>
              <w:spacing w:after="0"/>
              <w:rPr>
                <w:sz w:val="4"/>
                <w:szCs w:val="4"/>
                <w:color w:val="auto"/>
              </w:rPr>
            </w:pPr>
          </w:p>
        </w:tc>
        <w:tc>
          <w:tcPr>
            <w:tcW w:w="160" w:type="dxa"/>
            <w:vAlign w:val="bottom"/>
          </w:tcPr>
          <w:p>
            <w:pPr>
              <w:spacing w:after="0"/>
              <w:rPr>
                <w:sz w:val="4"/>
                <w:szCs w:val="4"/>
                <w:color w:val="auto"/>
              </w:rPr>
            </w:pPr>
          </w:p>
        </w:tc>
        <w:tc>
          <w:tcPr>
            <w:tcW w:w="64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35"/>
        </w:trPr>
        <w:tc>
          <w:tcPr>
            <w:tcW w:w="3480" w:type="dxa"/>
            <w:vAlign w:val="bottom"/>
          </w:tcPr>
          <w:p>
            <w:pPr>
              <w:spacing w:after="0"/>
              <w:rPr>
                <w:sz w:val="11"/>
                <w:szCs w:val="11"/>
                <w:color w:val="auto"/>
              </w:rPr>
            </w:pPr>
          </w:p>
        </w:tc>
        <w:tc>
          <w:tcPr>
            <w:tcW w:w="880" w:type="dxa"/>
            <w:vAlign w:val="bottom"/>
            <w:gridSpan w:val="2"/>
            <w:vMerge w:val="restart"/>
          </w:tcPr>
          <w:p>
            <w:pPr>
              <w:ind w:left="220"/>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180" w:type="dxa"/>
            <w:vAlign w:val="bottom"/>
          </w:tcPr>
          <w:p>
            <w:pPr>
              <w:spacing w:after="0"/>
              <w:rPr>
                <w:sz w:val="11"/>
                <w:szCs w:val="11"/>
                <w:color w:val="auto"/>
              </w:rPr>
            </w:pPr>
          </w:p>
        </w:tc>
        <w:tc>
          <w:tcPr>
            <w:tcW w:w="700" w:type="dxa"/>
            <w:vAlign w:val="bottom"/>
            <w:gridSpan w:val="2"/>
            <w:vMerge w:val="restart"/>
          </w:tcPr>
          <w:p>
            <w:pPr>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120" w:type="dxa"/>
            <w:vAlign w:val="bottom"/>
          </w:tcPr>
          <w:p>
            <w:pPr>
              <w:spacing w:after="0"/>
              <w:rPr>
                <w:sz w:val="11"/>
                <w:szCs w:val="11"/>
                <w:color w:val="auto"/>
              </w:rPr>
            </w:pPr>
          </w:p>
        </w:tc>
        <w:tc>
          <w:tcPr>
            <w:tcW w:w="840" w:type="dxa"/>
            <w:vAlign w:val="bottom"/>
            <w:gridSpan w:val="2"/>
          </w:tcPr>
          <w:p>
            <w:pPr>
              <w:ind w:left="40"/>
              <w:spacing w:after="0" w:line="135" w:lineRule="exact"/>
              <w:rPr>
                <w:sz w:val="20"/>
                <w:szCs w:val="20"/>
                <w:color w:val="auto"/>
              </w:rPr>
            </w:pPr>
            <w:r>
              <w:rPr>
                <w:rFonts w:ascii="Times New Roman" w:cs="Times New Roman" w:eastAsia="Times New Roman" w:hAnsi="Times New Roman"/>
                <w:sz w:val="13"/>
                <w:szCs w:val="13"/>
                <w:b w:val="1"/>
                <w:bCs w:val="1"/>
                <w:color w:val="auto"/>
              </w:rPr>
              <w:t>Additional</w:t>
            </w:r>
          </w:p>
        </w:tc>
        <w:tc>
          <w:tcPr>
            <w:tcW w:w="1020" w:type="dxa"/>
            <w:vAlign w:val="bottom"/>
            <w:tcBorders>
              <w:right w:val="single" w:sz="8" w:color="auto"/>
            </w:tcBorders>
            <w:gridSpan w:val="3"/>
          </w:tcPr>
          <w:p>
            <w:pPr>
              <w:jc w:val="center"/>
              <w:ind w:right="180"/>
              <w:spacing w:after="0" w:line="135" w:lineRule="exact"/>
              <w:rPr>
                <w:sz w:val="20"/>
                <w:szCs w:val="20"/>
                <w:color w:val="auto"/>
              </w:rPr>
            </w:pPr>
            <w:r>
              <w:rPr>
                <w:rFonts w:ascii="Times New Roman" w:cs="Times New Roman" w:eastAsia="Times New Roman" w:hAnsi="Times New Roman"/>
                <w:sz w:val="13"/>
                <w:szCs w:val="13"/>
                <w:b w:val="1"/>
                <w:bCs w:val="1"/>
                <w:color w:val="auto"/>
                <w:w w:val="97"/>
              </w:rPr>
              <w:t>(Accumulated</w:t>
            </w:r>
          </w:p>
        </w:tc>
        <w:tc>
          <w:tcPr>
            <w:tcW w:w="900" w:type="dxa"/>
            <w:vAlign w:val="bottom"/>
            <w:tcBorders>
              <w:right w:val="single" w:sz="8" w:color="auto"/>
            </w:tcBorders>
            <w:gridSpan w:val="2"/>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6"/>
              </w:rPr>
              <w:t>Stockholders’</w:t>
            </w: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tcBorders>
              <w:right w:val="single" w:sz="8" w:color="auto"/>
            </w:tcBorders>
            <w:gridSpan w:val="2"/>
          </w:tcPr>
          <w:p>
            <w:pPr>
              <w:jc w:val="center"/>
              <w:ind w:right="260"/>
              <w:spacing w:after="0" w:line="135" w:lineRule="exact"/>
              <w:rPr>
                <w:sz w:val="20"/>
                <w:szCs w:val="20"/>
                <w:color w:val="auto"/>
              </w:rPr>
            </w:pPr>
            <w:r>
              <w:rPr>
                <w:rFonts w:ascii="Times New Roman" w:cs="Times New Roman" w:eastAsia="Times New Roman" w:hAnsi="Times New Roman"/>
                <w:sz w:val="13"/>
                <w:szCs w:val="13"/>
                <w:b w:val="1"/>
                <w:bCs w:val="1"/>
                <w:color w:val="auto"/>
                <w:w w:val="96"/>
              </w:rPr>
              <w:t>Investment</w:t>
            </w:r>
          </w:p>
        </w:tc>
        <w:tc>
          <w:tcPr>
            <w:tcW w:w="800" w:type="dxa"/>
            <w:vAlign w:val="bottom"/>
            <w:tcBorders>
              <w:right w:val="single" w:sz="8" w:color="auto"/>
            </w:tcBorders>
            <w:gridSpan w:val="2"/>
            <w:vMerge w:val="restart"/>
          </w:tcPr>
          <w:p>
            <w:pPr>
              <w:jc w:val="right"/>
              <w:ind w:right="28"/>
              <w:spacing w:after="0"/>
              <w:rPr>
                <w:sz w:val="20"/>
                <w:szCs w:val="20"/>
                <w:color w:val="auto"/>
              </w:rPr>
            </w:pPr>
            <w:r>
              <w:rPr>
                <w:rFonts w:ascii="Times New Roman" w:cs="Times New Roman" w:eastAsia="Times New Roman" w:hAnsi="Times New Roman"/>
                <w:sz w:val="13"/>
                <w:szCs w:val="13"/>
                <w:b w:val="1"/>
                <w:bCs w:val="1"/>
                <w:color w:val="auto"/>
                <w:w w:val="96"/>
              </w:rPr>
              <w:t>Total Equity</w:t>
            </w:r>
          </w:p>
        </w:tc>
        <w:tc>
          <w:tcPr>
            <w:tcW w:w="0" w:type="dxa"/>
            <w:vAlign w:val="bottom"/>
          </w:tcPr>
          <w:p>
            <w:pPr>
              <w:spacing w:after="0"/>
              <w:rPr>
                <w:sz w:val="1"/>
                <w:szCs w:val="1"/>
                <w:color w:val="auto"/>
              </w:rPr>
            </w:pPr>
          </w:p>
        </w:tc>
      </w:tr>
      <w:tr>
        <w:trPr>
          <w:trHeight w:val="171"/>
        </w:trPr>
        <w:tc>
          <w:tcPr>
            <w:tcW w:w="3480" w:type="dxa"/>
            <w:vAlign w:val="bottom"/>
          </w:tcPr>
          <w:p>
            <w:pPr>
              <w:spacing w:after="0"/>
              <w:rPr>
                <w:sz w:val="14"/>
                <w:szCs w:val="14"/>
                <w:color w:val="auto"/>
              </w:rPr>
            </w:pPr>
          </w:p>
        </w:tc>
        <w:tc>
          <w:tcPr>
            <w:tcW w:w="88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gridSpan w:val="2"/>
            <w:vMerge w:val="continue"/>
          </w:tcPr>
          <w:p>
            <w:pPr>
              <w:spacing w:after="0"/>
              <w:rPr>
                <w:sz w:val="14"/>
                <w:szCs w:val="14"/>
                <w:color w:val="auto"/>
              </w:rPr>
            </w:pPr>
          </w:p>
        </w:tc>
        <w:tc>
          <w:tcPr>
            <w:tcW w:w="960" w:type="dxa"/>
            <w:vAlign w:val="bottom"/>
            <w:gridSpan w:val="3"/>
          </w:tcPr>
          <w:p>
            <w:pPr>
              <w:ind w:left="40"/>
              <w:spacing w:after="0"/>
              <w:rPr>
                <w:sz w:val="20"/>
                <w:szCs w:val="20"/>
                <w:color w:val="auto"/>
              </w:rPr>
            </w:pPr>
            <w:r>
              <w:rPr>
                <w:rFonts w:ascii="Times New Roman" w:cs="Times New Roman" w:eastAsia="Times New Roman" w:hAnsi="Times New Roman"/>
                <w:sz w:val="13"/>
                <w:szCs w:val="13"/>
                <w:b w:val="1"/>
                <w:bCs w:val="1"/>
                <w:color w:val="auto"/>
              </w:rPr>
              <w:t>Paid-in Capital</w:t>
            </w:r>
          </w:p>
        </w:tc>
        <w:tc>
          <w:tcPr>
            <w:tcW w:w="120" w:type="dxa"/>
            <w:vAlign w:val="bottom"/>
          </w:tcPr>
          <w:p>
            <w:pPr>
              <w:spacing w:after="0"/>
              <w:rPr>
                <w:sz w:val="14"/>
                <w:szCs w:val="14"/>
                <w:color w:val="auto"/>
              </w:rPr>
            </w:pPr>
          </w:p>
        </w:tc>
        <w:tc>
          <w:tcPr>
            <w:tcW w:w="900" w:type="dxa"/>
            <w:vAlign w:val="bottom"/>
            <w:tcBorders>
              <w:right w:val="single" w:sz="8" w:color="auto"/>
            </w:tcBorders>
            <w:gridSpan w:val="2"/>
          </w:tcPr>
          <w:p>
            <w:pPr>
              <w:jc w:val="center"/>
              <w:ind w:right="300"/>
              <w:spacing w:after="0"/>
              <w:rPr>
                <w:sz w:val="20"/>
                <w:szCs w:val="20"/>
                <w:color w:val="auto"/>
              </w:rPr>
            </w:pPr>
            <w:r>
              <w:rPr>
                <w:rFonts w:ascii="Times New Roman" w:cs="Times New Roman" w:eastAsia="Times New Roman" w:hAnsi="Times New Roman"/>
                <w:sz w:val="13"/>
                <w:szCs w:val="13"/>
                <w:b w:val="1"/>
                <w:bCs w:val="1"/>
                <w:color w:val="auto"/>
                <w:w w:val="97"/>
              </w:rPr>
              <w:t>Deficit)</w:t>
            </w:r>
          </w:p>
        </w:tc>
        <w:tc>
          <w:tcPr>
            <w:tcW w:w="160" w:type="dxa"/>
            <w:vAlign w:val="bottom"/>
          </w:tcPr>
          <w:p>
            <w:pPr>
              <w:spacing w:after="0"/>
              <w:rPr>
                <w:sz w:val="14"/>
                <w:szCs w:val="14"/>
                <w:color w:val="auto"/>
              </w:rPr>
            </w:pPr>
          </w:p>
        </w:tc>
        <w:tc>
          <w:tcPr>
            <w:tcW w:w="740" w:type="dxa"/>
            <w:vAlign w:val="bottom"/>
            <w:tcBorders>
              <w:right w:val="single" w:sz="8" w:color="auto"/>
            </w:tcBorders>
          </w:tcPr>
          <w:p>
            <w:pPr>
              <w:jc w:val="center"/>
              <w:ind w:right="129"/>
              <w:spacing w:after="0"/>
              <w:rPr>
                <w:sz w:val="20"/>
                <w:szCs w:val="20"/>
                <w:color w:val="auto"/>
              </w:rPr>
            </w:pPr>
            <w:r>
              <w:rPr>
                <w:rFonts w:ascii="Times New Roman" w:cs="Times New Roman" w:eastAsia="Times New Roman" w:hAnsi="Times New Roman"/>
                <w:sz w:val="13"/>
                <w:szCs w:val="13"/>
                <w:b w:val="1"/>
                <w:bCs w:val="1"/>
                <w:color w:val="auto"/>
              </w:rPr>
              <w:t>Equity</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Borders>
              <w:right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w w:val="98"/>
              </w:rPr>
              <w:t>Entities</w:t>
            </w:r>
          </w:p>
        </w:tc>
        <w:tc>
          <w:tcPr>
            <w:tcW w:w="800" w:type="dxa"/>
            <w:vAlign w:val="bottom"/>
            <w:tcBorders>
              <w:right w:val="single" w:sz="8" w:color="auto"/>
            </w:tcBorders>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2"/>
        </w:trPr>
        <w:tc>
          <w:tcPr>
            <w:tcW w:w="34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as of December 31, 2025</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128,627</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1,286</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2,863,377</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(1,926,231)</w:t>
            </w:r>
          </w:p>
        </w:tc>
        <w:tc>
          <w:tcPr>
            <w:tcW w:w="180" w:type="dxa"/>
            <w:vAlign w:val="bottom"/>
            <w:tcBorders>
              <w:top w:val="single" w:sz="8" w:color="CCEEFF"/>
              <w:bottom w:val="single" w:sz="8" w:color="CCEEFF"/>
              <w:right w:val="single" w:sz="8" w:color="auto"/>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top w:val="single" w:sz="8" w:color="auto"/>
              <w:bottom w:val="single" w:sz="8" w:color="auto"/>
              <w:right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938,432</w:t>
            </w: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(10,027)</w:t>
            </w:r>
          </w:p>
        </w:tc>
        <w:tc>
          <w:tcPr>
            <w:tcW w:w="120" w:type="dxa"/>
            <w:vAlign w:val="bottom"/>
            <w:tcBorders>
              <w:top w:val="single" w:sz="8" w:color="CCEEFF"/>
              <w:bottom w:val="single" w:sz="8" w:color="CCEEFF"/>
              <w:right w:val="single" w:sz="8" w:color="auto"/>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ind w:right="43"/>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tcBorders>
              <w:top w:val="single" w:sz="8" w:color="auto"/>
              <w:bottom w:val="single" w:sz="8" w:color="auto"/>
              <w:right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928,405</w:t>
            </w:r>
          </w:p>
        </w:tc>
        <w:tc>
          <w:tcPr>
            <w:tcW w:w="0" w:type="dxa"/>
            <w:vAlign w:val="bottom"/>
          </w:tcPr>
          <w:p>
            <w:pPr>
              <w:spacing w:after="0"/>
              <w:rPr>
                <w:sz w:val="1"/>
                <w:szCs w:val="1"/>
                <w:color w:val="auto"/>
              </w:rPr>
            </w:pPr>
          </w:p>
        </w:tc>
      </w:tr>
      <w:tr>
        <w:trPr>
          <w:trHeight w:val="20"/>
        </w:trPr>
        <w:tc>
          <w:tcPr>
            <w:tcW w:w="348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Issuance and amortization of equity-based compensation</w:t>
            </w: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7"/>
        </w:trPr>
        <w:tc>
          <w:tcPr>
            <w:tcW w:w="3480" w:type="dxa"/>
            <w:vAlign w:val="bottom"/>
            <w:vMerge w:val="continue"/>
          </w:tcPr>
          <w:p>
            <w:pPr>
              <w:spacing w:after="0"/>
              <w:rPr>
                <w:sz w:val="14"/>
                <w:szCs w:val="1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2,511</w:t>
            </w:r>
          </w:p>
        </w:tc>
        <w:tc>
          <w:tcPr>
            <w:tcW w:w="80" w:type="dxa"/>
            <w:vAlign w:val="bottom"/>
          </w:tcPr>
          <w:p>
            <w:pPr>
              <w:spacing w:after="0"/>
              <w:rPr>
                <w:sz w:val="14"/>
                <w:szCs w:val="14"/>
                <w:color w:val="auto"/>
              </w:rPr>
            </w:pPr>
          </w:p>
        </w:tc>
        <w:tc>
          <w:tcPr>
            <w:tcW w:w="1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w:t>
            </w:r>
          </w:p>
        </w:tc>
        <w:tc>
          <w:tcPr>
            <w:tcW w:w="80" w:type="dxa"/>
            <w:vAlign w:val="bottom"/>
          </w:tcPr>
          <w:p>
            <w:pPr>
              <w:spacing w:after="0"/>
              <w:rPr>
                <w:sz w:val="14"/>
                <w:szCs w:val="14"/>
                <w:color w:val="auto"/>
              </w:rPr>
            </w:pPr>
          </w:p>
        </w:tc>
        <w:tc>
          <w:tcPr>
            <w:tcW w:w="1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2,892</w:t>
            </w:r>
          </w:p>
        </w:tc>
        <w:tc>
          <w:tcPr>
            <w:tcW w:w="8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Borders>
              <w:right w:val="single" w:sz="8" w:color="auto"/>
            </w:tcBorders>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right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color w:val="auto"/>
              </w:rPr>
              <w:t>2,918</w:t>
            </w:r>
          </w:p>
        </w:tc>
        <w:tc>
          <w:tcPr>
            <w:tcW w:w="40" w:type="dxa"/>
            <w:vAlign w:val="bottom"/>
          </w:tcPr>
          <w:p>
            <w:pPr>
              <w:spacing w:after="0"/>
              <w:rPr>
                <w:sz w:val="14"/>
                <w:szCs w:val="14"/>
                <w:color w:val="auto"/>
              </w:rPr>
            </w:pPr>
          </w:p>
        </w:tc>
        <w:tc>
          <w:tcPr>
            <w:tcW w:w="1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right w:val="single" w:sz="8" w:color="auto"/>
            </w:tcBorders>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jc w:val="right"/>
              <w:ind w:right="43"/>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tcBorders>
              <w:right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2,918</w:t>
            </w:r>
          </w:p>
        </w:tc>
        <w:tc>
          <w:tcPr>
            <w:tcW w:w="0" w:type="dxa"/>
            <w:vAlign w:val="bottom"/>
          </w:tcPr>
          <w:p>
            <w:pPr>
              <w:spacing w:after="0"/>
              <w:rPr>
                <w:sz w:val="1"/>
                <w:szCs w:val="1"/>
                <w:color w:val="auto"/>
              </w:rPr>
            </w:pPr>
          </w:p>
        </w:tc>
      </w:tr>
      <w:tr>
        <w:trPr>
          <w:trHeight w:val="23"/>
        </w:trPr>
        <w:tc>
          <w:tcPr>
            <w:tcW w:w="348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80" w:type="dxa"/>
            <w:vAlign w:val="bottom"/>
            <w:tcBorders>
              <w:right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Borders>
              <w:right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tcBorders>
              <w:right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3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Dividends and distributions declared ($0.16 per share)</w:t>
            </w: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1"/>
                <w:szCs w:val="21"/>
                <w:color w:val="auto"/>
              </w:rPr>
            </w:pPr>
          </w:p>
        </w:tc>
        <w:tc>
          <w:tcPr>
            <w:tcW w:w="7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1"/>
                <w:szCs w:val="21"/>
                <w:color w:val="auto"/>
              </w:rPr>
            </w:pP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1"/>
                <w:szCs w:val="21"/>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(23,487)</w:t>
            </w:r>
          </w:p>
        </w:tc>
        <w:tc>
          <w:tcPr>
            <w:tcW w:w="180" w:type="dxa"/>
            <w:vAlign w:val="bottom"/>
            <w:tcBorders>
              <w:right w:val="single" w:sz="8" w:color="auto"/>
            </w:tcBorders>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740" w:type="dxa"/>
            <w:vAlign w:val="bottom"/>
            <w:tcBorders>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(23,487)</w:t>
            </w:r>
          </w:p>
        </w:tc>
        <w:tc>
          <w:tcPr>
            <w:tcW w:w="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860" w:type="dxa"/>
            <w:vAlign w:val="bottom"/>
            <w:tcBorders>
              <w:right w:val="single" w:sz="8" w:color="auto"/>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21"/>
                <w:szCs w:val="21"/>
                <w:color w:val="auto"/>
              </w:rPr>
            </w:pPr>
          </w:p>
        </w:tc>
        <w:tc>
          <w:tcPr>
            <w:tcW w:w="640" w:type="dxa"/>
            <w:vAlign w:val="bottom"/>
            <w:tcBorders>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(23,487)</w:t>
            </w:r>
          </w:p>
        </w:tc>
        <w:tc>
          <w:tcPr>
            <w:tcW w:w="0" w:type="dxa"/>
            <w:vAlign w:val="bottom"/>
          </w:tcPr>
          <w:p>
            <w:pPr>
              <w:spacing w:after="0"/>
              <w:rPr>
                <w:sz w:val="1"/>
                <w:szCs w:val="1"/>
                <w:color w:val="auto"/>
              </w:rPr>
            </w:pPr>
          </w:p>
        </w:tc>
      </w:tr>
      <w:tr>
        <w:trPr>
          <w:trHeight w:val="153"/>
        </w:trPr>
        <w:tc>
          <w:tcPr>
            <w:tcW w:w="3480" w:type="dxa"/>
            <w:vAlign w:val="bottom"/>
          </w:tcPr>
          <w:p>
            <w:pPr>
              <w:ind w:left="20"/>
              <w:spacing w:after="0" w:line="153" w:lineRule="exact"/>
              <w:rPr>
                <w:sz w:val="20"/>
                <w:szCs w:val="20"/>
                <w:color w:val="auto"/>
              </w:rPr>
            </w:pPr>
            <w:r>
              <w:rPr>
                <w:rFonts w:ascii="Times New Roman" w:cs="Times New Roman" w:eastAsia="Times New Roman" w:hAnsi="Times New Roman"/>
                <w:sz w:val="14"/>
                <w:szCs w:val="14"/>
                <w:color w:val="auto"/>
              </w:rPr>
              <w:t>Shares canceled for tax withholding on vested stock</w:t>
            </w: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(860)</w:t>
            </w: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(4,781)</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tcBorders>
              <w:right w:val="single" w:sz="8" w:color="auto"/>
            </w:tcBorders>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3"/>
                <w:szCs w:val="13"/>
                <w:color w:val="auto"/>
              </w:rPr>
            </w:pPr>
          </w:p>
        </w:tc>
        <w:tc>
          <w:tcPr>
            <w:tcW w:w="740" w:type="dxa"/>
            <w:vAlign w:val="bottom"/>
            <w:tcBorders>
              <w:right w:val="single" w:sz="8" w:color="auto"/>
            </w:tcBorders>
            <w:vMerge w:val="restart"/>
          </w:tcPr>
          <w:p>
            <w:pPr>
              <w:jc w:val="right"/>
              <w:spacing w:after="0"/>
              <w:rPr>
                <w:sz w:val="20"/>
                <w:szCs w:val="20"/>
                <w:color w:val="auto"/>
              </w:rPr>
            </w:pPr>
            <w:r>
              <w:rPr>
                <w:rFonts w:ascii="Times New Roman" w:cs="Times New Roman" w:eastAsia="Times New Roman" w:hAnsi="Times New Roman"/>
                <w:sz w:val="14"/>
                <w:szCs w:val="14"/>
                <w:color w:val="auto"/>
              </w:rPr>
              <w:t>(4,790)</w:t>
            </w: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tcBorders>
              <w:right w:val="single" w:sz="8" w:color="auto"/>
            </w:tcBorders>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3"/>
                <w:szCs w:val="13"/>
                <w:color w:val="auto"/>
              </w:rPr>
            </w:pPr>
          </w:p>
        </w:tc>
        <w:tc>
          <w:tcPr>
            <w:tcW w:w="640" w:type="dxa"/>
            <w:vAlign w:val="bottom"/>
            <w:tcBorders>
              <w:right w:val="single" w:sz="8" w:color="auto"/>
            </w:tcBorders>
            <w:vMerge w:val="restart"/>
          </w:tcPr>
          <w:p>
            <w:pPr>
              <w:jc w:val="right"/>
              <w:spacing w:after="0"/>
              <w:rPr>
                <w:sz w:val="20"/>
                <w:szCs w:val="20"/>
                <w:color w:val="auto"/>
              </w:rPr>
            </w:pPr>
            <w:r>
              <w:rPr>
                <w:rFonts w:ascii="Times New Roman" w:cs="Times New Roman" w:eastAsia="Times New Roman" w:hAnsi="Times New Roman"/>
                <w:sz w:val="14"/>
                <w:szCs w:val="14"/>
                <w:color w:val="auto"/>
              </w:rPr>
              <w:t>(4,790)</w:t>
            </w:r>
          </w:p>
        </w:tc>
        <w:tc>
          <w:tcPr>
            <w:tcW w:w="0" w:type="dxa"/>
            <w:vAlign w:val="bottom"/>
          </w:tcPr>
          <w:p>
            <w:pPr>
              <w:spacing w:after="0"/>
              <w:rPr>
                <w:sz w:val="1"/>
                <w:szCs w:val="1"/>
                <w:color w:val="auto"/>
              </w:rPr>
            </w:pPr>
          </w:p>
        </w:tc>
      </w:tr>
      <w:tr>
        <w:trPr>
          <w:trHeight w:val="193"/>
        </w:trPr>
        <w:tc>
          <w:tcPr>
            <w:tcW w:w="34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awards</w:t>
            </w:r>
          </w:p>
        </w:tc>
        <w:tc>
          <w:tcPr>
            <w:tcW w:w="80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2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Borders>
              <w:right w:val="single" w:sz="8" w:color="auto"/>
            </w:tcBorders>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Borders>
              <w:right w:val="single" w:sz="8" w:color="auto"/>
            </w:tcBorders>
            <w:vMerge w:val="continue"/>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Borders>
              <w:right w:val="single" w:sz="8" w:color="auto"/>
            </w:tcBorders>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tcBorders>
              <w:right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8"/>
        </w:trPr>
        <w:tc>
          <w:tcPr>
            <w:tcW w:w="3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income (loss)</w:t>
            </w: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1"/>
                <w:szCs w:val="21"/>
                <w:color w:val="auto"/>
              </w:rPr>
            </w:pPr>
          </w:p>
        </w:tc>
        <w:tc>
          <w:tcPr>
            <w:tcW w:w="7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1"/>
                <w:szCs w:val="21"/>
                <w:color w:val="auto"/>
              </w:rPr>
            </w:pP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1"/>
                <w:szCs w:val="21"/>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4,845</w:t>
            </w:r>
          </w:p>
        </w:tc>
        <w:tc>
          <w:tcPr>
            <w:tcW w:w="180" w:type="dxa"/>
            <w:vAlign w:val="bottom"/>
            <w:tcBorders>
              <w:right w:val="single" w:sz="8" w:color="auto"/>
            </w:tcBorders>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740" w:type="dxa"/>
            <w:vAlign w:val="bottom"/>
            <w:tcBorders>
              <w:right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4,845</w:t>
            </w:r>
          </w:p>
        </w:tc>
        <w:tc>
          <w:tcPr>
            <w:tcW w:w="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(1,722)</w:t>
            </w:r>
          </w:p>
        </w:tc>
        <w:tc>
          <w:tcPr>
            <w:tcW w:w="120" w:type="dxa"/>
            <w:vAlign w:val="bottom"/>
            <w:tcBorders>
              <w:right w:val="single" w:sz="8" w:color="auto"/>
            </w:tcBorders>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640" w:type="dxa"/>
            <w:vAlign w:val="bottom"/>
            <w:tcBorders>
              <w:right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3,123</w:t>
            </w:r>
          </w:p>
        </w:tc>
        <w:tc>
          <w:tcPr>
            <w:tcW w:w="0" w:type="dxa"/>
            <w:vAlign w:val="bottom"/>
          </w:tcPr>
          <w:p>
            <w:pPr>
              <w:spacing w:after="0"/>
              <w:rPr>
                <w:sz w:val="1"/>
                <w:szCs w:val="1"/>
                <w:color w:val="auto"/>
              </w:rPr>
            </w:pPr>
          </w:p>
        </w:tc>
      </w:tr>
      <w:tr>
        <w:trPr>
          <w:trHeight w:val="183"/>
        </w:trPr>
        <w:tc>
          <w:tcPr>
            <w:tcW w:w="34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as of March 31, 2026</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130,278</w:t>
            </w:r>
          </w:p>
        </w:tc>
        <w:tc>
          <w:tcPr>
            <w:tcW w:w="80" w:type="dxa"/>
            <w:vAlign w:val="bottom"/>
          </w:tcPr>
          <w:p>
            <w:pPr>
              <w:spacing w:after="0"/>
              <w:rPr>
                <w:sz w:val="15"/>
                <w:szCs w:val="15"/>
                <w:color w:val="auto"/>
              </w:rPr>
            </w:pPr>
          </w:p>
        </w:tc>
        <w:tc>
          <w:tcPr>
            <w:tcW w:w="18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1,303</w:t>
            </w:r>
          </w:p>
        </w:tc>
        <w:tc>
          <w:tcPr>
            <w:tcW w:w="80" w:type="dxa"/>
            <w:vAlign w:val="bottom"/>
          </w:tcPr>
          <w:p>
            <w:pPr>
              <w:spacing w:after="0"/>
              <w:rPr>
                <w:sz w:val="15"/>
                <w:szCs w:val="15"/>
                <w:color w:val="auto"/>
              </w:rPr>
            </w:pPr>
          </w:p>
        </w:tc>
        <w:tc>
          <w:tcPr>
            <w:tcW w:w="12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2,861,488</w:t>
            </w:r>
          </w:p>
        </w:tc>
        <w:tc>
          <w:tcPr>
            <w:tcW w:w="80" w:type="dxa"/>
            <w:vAlign w:val="bottom"/>
          </w:tcPr>
          <w:p>
            <w:pPr>
              <w:spacing w:after="0"/>
              <w:rPr>
                <w:sz w:val="15"/>
                <w:szCs w:val="15"/>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(1,944,873)</w:t>
            </w:r>
          </w:p>
        </w:tc>
        <w:tc>
          <w:tcPr>
            <w:tcW w:w="180" w:type="dxa"/>
            <w:vAlign w:val="bottom"/>
            <w:tcBorders>
              <w:right w:val="single" w:sz="8" w:color="auto"/>
            </w:tcBorders>
          </w:tcPr>
          <w:p>
            <w:pPr>
              <w:spacing w:after="0"/>
              <w:rPr>
                <w:sz w:val="15"/>
                <w:szCs w:val="15"/>
                <w:color w:val="auto"/>
              </w:rPr>
            </w:pPr>
          </w:p>
        </w:tc>
        <w:tc>
          <w:tcPr>
            <w:tcW w:w="160" w:type="dxa"/>
            <w:vAlign w:val="bottom"/>
            <w:tcBorders>
              <w:top w:val="single" w:sz="8" w:color="auto"/>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top w:val="single" w:sz="8" w:color="auto"/>
              <w:bottom w:val="single" w:sz="8" w:color="auto"/>
              <w:right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color w:val="auto"/>
              </w:rPr>
              <w:t>917,918</w:t>
            </w:r>
          </w:p>
        </w:tc>
        <w:tc>
          <w:tcPr>
            <w:tcW w:w="40" w:type="dxa"/>
            <w:vAlign w:val="bottom"/>
          </w:tcPr>
          <w:p>
            <w:pPr>
              <w:spacing w:after="0"/>
              <w:rPr>
                <w:sz w:val="15"/>
                <w:szCs w:val="15"/>
                <w:color w:val="auto"/>
              </w:rPr>
            </w:pPr>
          </w:p>
        </w:tc>
        <w:tc>
          <w:tcPr>
            <w:tcW w:w="12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(11,749)</w:t>
            </w:r>
          </w:p>
        </w:tc>
        <w:tc>
          <w:tcPr>
            <w:tcW w:w="120" w:type="dxa"/>
            <w:vAlign w:val="bottom"/>
            <w:tcBorders>
              <w:right w:val="single" w:sz="8" w:color="auto"/>
            </w:tcBorders>
          </w:tcPr>
          <w:p>
            <w:pPr>
              <w:spacing w:after="0"/>
              <w:rPr>
                <w:sz w:val="15"/>
                <w:szCs w:val="15"/>
                <w:color w:val="auto"/>
              </w:rPr>
            </w:pPr>
          </w:p>
        </w:tc>
        <w:tc>
          <w:tcPr>
            <w:tcW w:w="160" w:type="dxa"/>
            <w:vAlign w:val="bottom"/>
            <w:tcBorders>
              <w:top w:val="single" w:sz="8" w:color="auto"/>
              <w:bottom w:val="single" w:sz="8" w:color="auto"/>
            </w:tcBorders>
          </w:tcPr>
          <w:p>
            <w:pPr>
              <w:jc w:val="right"/>
              <w:ind w:right="43"/>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tcBorders>
              <w:top w:val="single" w:sz="8" w:color="auto"/>
              <w:bottom w:val="single" w:sz="8" w:color="auto"/>
              <w:right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906,169</w:t>
            </w:r>
          </w:p>
        </w:tc>
        <w:tc>
          <w:tcPr>
            <w:tcW w:w="0" w:type="dxa"/>
            <w:vAlign w:val="bottom"/>
          </w:tcPr>
          <w:p>
            <w:pPr>
              <w:spacing w:after="0"/>
              <w:rPr>
                <w:sz w:val="1"/>
                <w:szCs w:val="1"/>
                <w:color w:val="auto"/>
              </w:rPr>
            </w:pPr>
          </w:p>
        </w:tc>
      </w:tr>
      <w:tr>
        <w:trPr>
          <w:trHeight w:val="20"/>
        </w:trPr>
        <w:tc>
          <w:tcPr>
            <w:tcW w:w="3480" w:type="dxa"/>
            <w:vAlign w:val="bottom"/>
            <w:tcBorders>
              <w:bottom w:val="single" w:sz="8" w:color="CCEEFF"/>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right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right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right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3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Issuance and amortization of equity-based compensation</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88</w:t>
            </w:r>
          </w:p>
        </w:tc>
        <w:tc>
          <w:tcPr>
            <w:tcW w:w="8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3,442</w:t>
            </w:r>
          </w:p>
        </w:tc>
        <w:tc>
          <w:tcPr>
            <w:tcW w:w="8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Borders>
              <w:bottom w:val="single" w:sz="8" w:color="CCEEFF"/>
              <w:right w:val="single" w:sz="8" w:color="auto"/>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CCEEFF"/>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bottom w:val="single" w:sz="8" w:color="CCEEFF"/>
              <w:right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3,443</w:t>
            </w:r>
          </w:p>
        </w:tc>
        <w:tc>
          <w:tcPr>
            <w:tcW w:w="4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bottom w:val="single" w:sz="8" w:color="CCEEFF"/>
              <w:right w:val="single" w:sz="8" w:color="auto"/>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CCEEFF"/>
            </w:tcBorders>
            <w:shd w:val="clear" w:color="auto" w:fill="CCEEFF"/>
          </w:tcPr>
          <w:p>
            <w:pPr>
              <w:jc w:val="right"/>
              <w:ind w:right="43"/>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tcBorders>
              <w:bottom w:val="single" w:sz="8" w:color="CCEEFF"/>
              <w:right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3,443</w:t>
            </w:r>
          </w:p>
        </w:tc>
        <w:tc>
          <w:tcPr>
            <w:tcW w:w="0" w:type="dxa"/>
            <w:vAlign w:val="bottom"/>
          </w:tcPr>
          <w:p>
            <w:pPr>
              <w:spacing w:after="0"/>
              <w:rPr>
                <w:sz w:val="1"/>
                <w:szCs w:val="1"/>
                <w:color w:val="auto"/>
              </w:rPr>
            </w:pPr>
          </w:p>
        </w:tc>
      </w:tr>
      <w:tr>
        <w:trPr>
          <w:trHeight w:val="193"/>
        </w:trPr>
        <w:tc>
          <w:tcPr>
            <w:tcW w:w="34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Repurchase of common stock</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(3,576)</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(19,459)</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Borders>
              <w:right w:val="single" w:sz="8" w:color="auto"/>
            </w:tcBorders>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74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(19,495)</w:t>
            </w: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Borders>
              <w:right w:val="single" w:sz="8" w:color="auto"/>
            </w:tcBorders>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64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(19,495)</w:t>
            </w:r>
          </w:p>
        </w:tc>
        <w:tc>
          <w:tcPr>
            <w:tcW w:w="0" w:type="dxa"/>
            <w:vAlign w:val="bottom"/>
          </w:tcPr>
          <w:p>
            <w:pPr>
              <w:spacing w:after="0"/>
              <w:rPr>
                <w:sz w:val="1"/>
                <w:szCs w:val="1"/>
                <w:color w:val="auto"/>
              </w:rPr>
            </w:pPr>
          </w:p>
        </w:tc>
      </w:tr>
      <w:tr>
        <w:trPr>
          <w:trHeight w:val="23"/>
        </w:trPr>
        <w:tc>
          <w:tcPr>
            <w:tcW w:w="348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80" w:type="dxa"/>
            <w:vAlign w:val="bottom"/>
            <w:tcBorders>
              <w:right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Borders>
              <w:right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tcBorders>
              <w:right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3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Dividends and distributions declared ($0.16 per share)</w:t>
            </w:r>
          </w:p>
        </w:tc>
        <w:tc>
          <w:tcPr>
            <w:tcW w:w="8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bottom w:val="single" w:sz="8" w:color="CCEEFF"/>
            </w:tcBorders>
            <w:shd w:val="clear" w:color="auto" w:fill="CCEEFF"/>
          </w:tcPr>
          <w:p>
            <w:pPr>
              <w:spacing w:after="0"/>
              <w:rPr>
                <w:sz w:val="17"/>
                <w:szCs w:val="17"/>
                <w:color w:val="auto"/>
              </w:rPr>
            </w:pPr>
          </w:p>
        </w:tc>
        <w:tc>
          <w:tcPr>
            <w:tcW w:w="7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7"/>
                <w:szCs w:val="17"/>
                <w:color w:val="auto"/>
              </w:rPr>
            </w:pPr>
          </w:p>
        </w:tc>
        <w:tc>
          <w:tcPr>
            <w:tcW w:w="8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7"/>
                <w:szCs w:val="17"/>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(20,552)</w:t>
            </w:r>
          </w:p>
        </w:tc>
        <w:tc>
          <w:tcPr>
            <w:tcW w:w="180" w:type="dxa"/>
            <w:vAlign w:val="bottom"/>
            <w:tcBorders>
              <w:bottom w:val="single" w:sz="8" w:color="CCEEFF"/>
              <w:right w:val="single" w:sz="8" w:color="auto"/>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740" w:type="dxa"/>
            <w:vAlign w:val="bottom"/>
            <w:tcBorders>
              <w:bottom w:val="single" w:sz="8" w:color="CCEEFF"/>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(20,552)</w:t>
            </w:r>
          </w:p>
        </w:tc>
        <w:tc>
          <w:tcPr>
            <w:tcW w:w="4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right w:val="single" w:sz="8" w:color="auto"/>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CCEEFF"/>
            </w:tcBorders>
            <w:shd w:val="clear" w:color="auto" w:fill="CCEEFF"/>
          </w:tcPr>
          <w:p>
            <w:pPr>
              <w:spacing w:after="0"/>
              <w:rPr>
                <w:sz w:val="17"/>
                <w:szCs w:val="17"/>
                <w:color w:val="auto"/>
              </w:rPr>
            </w:pPr>
          </w:p>
        </w:tc>
        <w:tc>
          <w:tcPr>
            <w:tcW w:w="640" w:type="dxa"/>
            <w:vAlign w:val="bottom"/>
            <w:tcBorders>
              <w:bottom w:val="single" w:sz="8" w:color="CCEEFF"/>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(20,552)</w:t>
            </w:r>
          </w:p>
        </w:tc>
        <w:tc>
          <w:tcPr>
            <w:tcW w:w="0" w:type="dxa"/>
            <w:vAlign w:val="bottom"/>
          </w:tcPr>
          <w:p>
            <w:pPr>
              <w:spacing w:after="0"/>
              <w:rPr>
                <w:sz w:val="1"/>
                <w:szCs w:val="1"/>
                <w:color w:val="auto"/>
              </w:rPr>
            </w:pPr>
          </w:p>
        </w:tc>
      </w:tr>
      <w:tr>
        <w:trPr>
          <w:trHeight w:val="193"/>
        </w:trPr>
        <w:tc>
          <w:tcPr>
            <w:tcW w:w="34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loss</w:t>
            </w: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(18,334)</w:t>
            </w:r>
          </w:p>
        </w:tc>
        <w:tc>
          <w:tcPr>
            <w:tcW w:w="180" w:type="dxa"/>
            <w:vAlign w:val="bottom"/>
            <w:tcBorders>
              <w:right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(18,334)</w:t>
            </w: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(1,850)</w:t>
            </w:r>
          </w:p>
        </w:tc>
        <w:tc>
          <w:tcPr>
            <w:tcW w:w="120" w:type="dxa"/>
            <w:vAlign w:val="bottom"/>
            <w:tcBorders>
              <w:right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(20,184)</w:t>
            </w:r>
          </w:p>
        </w:tc>
        <w:tc>
          <w:tcPr>
            <w:tcW w:w="0" w:type="dxa"/>
            <w:vAlign w:val="bottom"/>
          </w:tcPr>
          <w:p>
            <w:pPr>
              <w:spacing w:after="0"/>
              <w:rPr>
                <w:sz w:val="1"/>
                <w:szCs w:val="1"/>
                <w:color w:val="auto"/>
              </w:rPr>
            </w:pPr>
          </w:p>
        </w:tc>
      </w:tr>
      <w:tr>
        <w:trPr>
          <w:trHeight w:val="23"/>
        </w:trPr>
        <w:tc>
          <w:tcPr>
            <w:tcW w:w="348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80" w:type="dxa"/>
            <w:vAlign w:val="bottom"/>
            <w:tcBorders>
              <w:bottom w:val="single" w:sz="8" w:color="CCEEFF"/>
              <w:right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40" w:type="dxa"/>
            <w:vAlign w:val="bottom"/>
            <w:tcBorders>
              <w:bottom w:val="single" w:sz="8" w:color="auto"/>
              <w:right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CCEEFF"/>
              <w:right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4"/>
        </w:trPr>
        <w:tc>
          <w:tcPr>
            <w:tcW w:w="3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as of June 30, 2026</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126,790</w:t>
            </w:r>
          </w:p>
        </w:tc>
        <w:tc>
          <w:tcPr>
            <w:tcW w:w="8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1,268</w:t>
            </w:r>
          </w:p>
        </w:tc>
        <w:tc>
          <w:tcPr>
            <w:tcW w:w="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2,845,471</w:t>
            </w:r>
          </w:p>
        </w:tc>
        <w:tc>
          <w:tcPr>
            <w:tcW w:w="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(1,983,759)</w:t>
            </w:r>
          </w:p>
        </w:tc>
        <w:tc>
          <w:tcPr>
            <w:tcW w:w="180" w:type="dxa"/>
            <w:vAlign w:val="bottom"/>
            <w:tcBorders>
              <w:bottom w:val="single" w:sz="8" w:color="CCEEFF"/>
              <w:right w:val="single" w:sz="8" w:color="auto"/>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bottom w:val="single" w:sz="8" w:color="auto"/>
              <w:right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862,980</w:t>
            </w:r>
          </w:p>
        </w:tc>
        <w:tc>
          <w:tcPr>
            <w:tcW w:w="4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(13,599)</w:t>
            </w:r>
          </w:p>
        </w:tc>
        <w:tc>
          <w:tcPr>
            <w:tcW w:w="120" w:type="dxa"/>
            <w:vAlign w:val="bottom"/>
            <w:tcBorders>
              <w:bottom w:val="single" w:sz="8" w:color="CCEEFF"/>
              <w:right w:val="single" w:sz="8" w:color="auto"/>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ind w:right="43"/>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tcBorders>
              <w:bottom w:val="single" w:sz="8" w:color="auto"/>
              <w:right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849,381</w:t>
            </w:r>
          </w:p>
        </w:tc>
        <w:tc>
          <w:tcPr>
            <w:tcW w:w="0" w:type="dxa"/>
            <w:vAlign w:val="bottom"/>
          </w:tcPr>
          <w:p>
            <w:pPr>
              <w:spacing w:after="0"/>
              <w:rPr>
                <w:sz w:val="1"/>
                <w:szCs w:val="1"/>
                <w:color w:val="auto"/>
              </w:rPr>
            </w:pPr>
          </w:p>
        </w:tc>
      </w:tr>
      <w:tr>
        <w:trPr>
          <w:trHeight w:val="20"/>
        </w:trPr>
        <w:tc>
          <w:tcPr>
            <w:tcW w:w="348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Issuance and amortization of equity-based compensation</w:t>
            </w: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right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7"/>
        </w:trPr>
        <w:tc>
          <w:tcPr>
            <w:tcW w:w="3480" w:type="dxa"/>
            <w:vAlign w:val="bottom"/>
            <w:vMerge w:val="continue"/>
          </w:tcPr>
          <w:p>
            <w:pPr>
              <w:spacing w:after="0"/>
              <w:rPr>
                <w:sz w:val="14"/>
                <w:szCs w:val="14"/>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3,581</w:t>
            </w:r>
          </w:p>
        </w:tc>
        <w:tc>
          <w:tcPr>
            <w:tcW w:w="8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Borders>
              <w:right w:val="single" w:sz="8" w:color="auto"/>
            </w:tcBorders>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right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color w:val="auto"/>
              </w:rPr>
              <w:t>3,581</w:t>
            </w:r>
          </w:p>
        </w:tc>
        <w:tc>
          <w:tcPr>
            <w:tcW w:w="40" w:type="dxa"/>
            <w:vAlign w:val="bottom"/>
          </w:tcPr>
          <w:p>
            <w:pPr>
              <w:spacing w:after="0"/>
              <w:rPr>
                <w:sz w:val="14"/>
                <w:szCs w:val="14"/>
                <w:color w:val="auto"/>
              </w:rPr>
            </w:pPr>
          </w:p>
        </w:tc>
        <w:tc>
          <w:tcPr>
            <w:tcW w:w="1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right w:val="single" w:sz="8" w:color="auto"/>
            </w:tcBorders>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jc w:val="right"/>
              <w:ind w:right="43"/>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tcBorders>
              <w:right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3,581</w:t>
            </w:r>
          </w:p>
        </w:tc>
        <w:tc>
          <w:tcPr>
            <w:tcW w:w="0" w:type="dxa"/>
            <w:vAlign w:val="bottom"/>
          </w:tcPr>
          <w:p>
            <w:pPr>
              <w:spacing w:after="0"/>
              <w:rPr>
                <w:sz w:val="1"/>
                <w:szCs w:val="1"/>
                <w:color w:val="auto"/>
              </w:rPr>
            </w:pPr>
          </w:p>
        </w:tc>
      </w:tr>
      <w:tr>
        <w:trPr>
          <w:trHeight w:val="23"/>
        </w:trPr>
        <w:tc>
          <w:tcPr>
            <w:tcW w:w="348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80" w:type="dxa"/>
            <w:vAlign w:val="bottom"/>
            <w:tcBorders>
              <w:right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Borders>
              <w:right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tcBorders>
              <w:right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3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Repurchase of common stock</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(2,063)</w:t>
            </w:r>
          </w:p>
        </w:tc>
        <w:tc>
          <w:tcPr>
            <w:tcW w:w="8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w:t>
            </w:r>
          </w:p>
        </w:tc>
        <w:tc>
          <w:tcPr>
            <w:tcW w:w="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(9,917)</w:t>
            </w:r>
          </w:p>
        </w:tc>
        <w:tc>
          <w:tcPr>
            <w:tcW w:w="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right w:val="single" w:sz="8" w:color="auto"/>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CCEEFF"/>
            </w:tcBorders>
            <w:shd w:val="clear" w:color="auto" w:fill="CCEEFF"/>
          </w:tcPr>
          <w:p>
            <w:pPr>
              <w:spacing w:after="0"/>
              <w:rPr>
                <w:sz w:val="17"/>
                <w:szCs w:val="17"/>
                <w:color w:val="auto"/>
              </w:rPr>
            </w:pPr>
          </w:p>
        </w:tc>
        <w:tc>
          <w:tcPr>
            <w:tcW w:w="740" w:type="dxa"/>
            <w:vAlign w:val="bottom"/>
            <w:tcBorders>
              <w:bottom w:val="single" w:sz="8" w:color="CCEEFF"/>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(9,937)</w:t>
            </w:r>
          </w:p>
        </w:tc>
        <w:tc>
          <w:tcPr>
            <w:tcW w:w="4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right w:val="single" w:sz="8" w:color="auto"/>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CCEEFF"/>
            </w:tcBorders>
            <w:shd w:val="clear" w:color="auto" w:fill="CCEEFF"/>
          </w:tcPr>
          <w:p>
            <w:pPr>
              <w:spacing w:after="0"/>
              <w:rPr>
                <w:sz w:val="17"/>
                <w:szCs w:val="17"/>
                <w:color w:val="auto"/>
              </w:rPr>
            </w:pPr>
          </w:p>
        </w:tc>
        <w:tc>
          <w:tcPr>
            <w:tcW w:w="640" w:type="dxa"/>
            <w:vAlign w:val="bottom"/>
            <w:tcBorders>
              <w:bottom w:val="single" w:sz="8" w:color="CCEEFF"/>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(9,937)</w:t>
            </w:r>
          </w:p>
        </w:tc>
        <w:tc>
          <w:tcPr>
            <w:tcW w:w="0" w:type="dxa"/>
            <w:vAlign w:val="bottom"/>
          </w:tcPr>
          <w:p>
            <w:pPr>
              <w:spacing w:after="0"/>
              <w:rPr>
                <w:sz w:val="1"/>
                <w:szCs w:val="1"/>
                <w:color w:val="auto"/>
              </w:rPr>
            </w:pPr>
          </w:p>
        </w:tc>
      </w:tr>
      <w:tr>
        <w:trPr>
          <w:trHeight w:val="193"/>
        </w:trPr>
        <w:tc>
          <w:tcPr>
            <w:tcW w:w="34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Dividends and distributions declared ($0.16 per share)</w:t>
            </w: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(20,215)</w:t>
            </w:r>
          </w:p>
        </w:tc>
        <w:tc>
          <w:tcPr>
            <w:tcW w:w="180" w:type="dxa"/>
            <w:vAlign w:val="bottom"/>
            <w:tcBorders>
              <w:right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(20,215)</w:t>
            </w: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Borders>
              <w:right w:val="single" w:sz="8" w:color="auto"/>
            </w:tcBorders>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64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(20,215)</w:t>
            </w:r>
          </w:p>
        </w:tc>
        <w:tc>
          <w:tcPr>
            <w:tcW w:w="0" w:type="dxa"/>
            <w:vAlign w:val="bottom"/>
          </w:tcPr>
          <w:p>
            <w:pPr>
              <w:spacing w:after="0"/>
              <w:rPr>
                <w:sz w:val="1"/>
                <w:szCs w:val="1"/>
                <w:color w:val="auto"/>
              </w:rPr>
            </w:pPr>
          </w:p>
        </w:tc>
      </w:tr>
      <w:tr>
        <w:trPr>
          <w:trHeight w:val="23"/>
        </w:trPr>
        <w:tc>
          <w:tcPr>
            <w:tcW w:w="348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80" w:type="dxa"/>
            <w:vAlign w:val="bottom"/>
            <w:tcBorders>
              <w:right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Borders>
              <w:right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tcBorders>
              <w:right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3"/>
        </w:trPr>
        <w:tc>
          <w:tcPr>
            <w:tcW w:w="3480" w:type="dxa"/>
            <w:vAlign w:val="bottom"/>
            <w:shd w:val="clear" w:color="auto" w:fill="CCEEFF"/>
          </w:tcPr>
          <w:p>
            <w:pPr>
              <w:ind w:left="20"/>
              <w:spacing w:after="0" w:line="153" w:lineRule="exact"/>
              <w:rPr>
                <w:sz w:val="20"/>
                <w:szCs w:val="20"/>
                <w:color w:val="auto"/>
              </w:rPr>
            </w:pPr>
            <w:r>
              <w:rPr>
                <w:rFonts w:ascii="Times New Roman" w:cs="Times New Roman" w:eastAsia="Times New Roman" w:hAnsi="Times New Roman"/>
                <w:sz w:val="14"/>
                <w:szCs w:val="14"/>
                <w:color w:val="auto"/>
              </w:rPr>
              <w:t>Shares canceled for tax withholding on vested stock</w:t>
            </w: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w:t>
            </w:r>
          </w:p>
        </w:tc>
        <w:tc>
          <w:tcPr>
            <w:tcW w:w="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(250)</w:t>
            </w: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00" w:type="dxa"/>
            <w:vAlign w:val="bottom"/>
            <w:tcBorders>
              <w:right w:val="single" w:sz="8" w:color="auto"/>
            </w:tcBorders>
            <w:gridSpan w:val="2"/>
            <w:vMerge w:val="restart"/>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3"/>
                <w:szCs w:val="13"/>
                <w:color w:val="auto"/>
              </w:rPr>
            </w:pPr>
          </w:p>
        </w:tc>
        <w:tc>
          <w:tcPr>
            <w:tcW w:w="740" w:type="dxa"/>
            <w:vAlign w:val="bottom"/>
            <w:tcBorders>
              <w:right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(251)</w:t>
            </w:r>
          </w:p>
        </w:tc>
        <w:tc>
          <w:tcPr>
            <w:tcW w:w="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60" w:type="dxa"/>
            <w:vAlign w:val="bottom"/>
            <w:tcBorders>
              <w:right w:val="single" w:sz="8" w:color="auto"/>
            </w:tcBorders>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3"/>
                <w:szCs w:val="13"/>
                <w:color w:val="auto"/>
              </w:rPr>
            </w:pPr>
          </w:p>
        </w:tc>
        <w:tc>
          <w:tcPr>
            <w:tcW w:w="640" w:type="dxa"/>
            <w:vAlign w:val="bottom"/>
            <w:tcBorders>
              <w:right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(251)</w:t>
            </w:r>
          </w:p>
        </w:tc>
        <w:tc>
          <w:tcPr>
            <w:tcW w:w="0" w:type="dxa"/>
            <w:vAlign w:val="bottom"/>
          </w:tcPr>
          <w:p>
            <w:pPr>
              <w:spacing w:after="0"/>
              <w:rPr>
                <w:sz w:val="1"/>
                <w:szCs w:val="1"/>
                <w:color w:val="auto"/>
              </w:rPr>
            </w:pPr>
          </w:p>
        </w:tc>
      </w:tr>
      <w:tr>
        <w:trPr>
          <w:trHeight w:val="198"/>
        </w:trPr>
        <w:tc>
          <w:tcPr>
            <w:tcW w:w="3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awards</w:t>
            </w:r>
          </w:p>
        </w:tc>
        <w:tc>
          <w:tcPr>
            <w:tcW w:w="80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2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tcBorders>
              <w:right w:val="single" w:sz="8" w:color="auto"/>
            </w:tcBorders>
            <w:gridSpan w:val="2"/>
            <w:vMerge w:val="continue"/>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tcBorders>
              <w:right w:val="single" w:sz="8" w:color="auto"/>
            </w:tcBorders>
            <w:vMerge w:val="continue"/>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tcBorders>
              <w:right w:val="single" w:sz="8" w:color="auto"/>
            </w:tcBorders>
            <w:gridSpan w:val="2"/>
            <w:vMerge w:val="continue"/>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tcBorders>
              <w:right w:val="single" w:sz="8" w:color="auto"/>
            </w:tcBorders>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34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income</w:t>
            </w: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46,934</w:t>
            </w:r>
          </w:p>
        </w:tc>
        <w:tc>
          <w:tcPr>
            <w:tcW w:w="180" w:type="dxa"/>
            <w:vAlign w:val="bottom"/>
            <w:tcBorders>
              <w:right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Borders>
              <w:right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color w:val="auto"/>
              </w:rPr>
              <w:t>46,934</w:t>
            </w: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300</w:t>
            </w:r>
          </w:p>
        </w:tc>
        <w:tc>
          <w:tcPr>
            <w:tcW w:w="120" w:type="dxa"/>
            <w:vAlign w:val="bottom"/>
            <w:tcBorders>
              <w:right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tcBorders>
              <w:right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47,234</w:t>
            </w:r>
          </w:p>
        </w:tc>
        <w:tc>
          <w:tcPr>
            <w:tcW w:w="0" w:type="dxa"/>
            <w:vAlign w:val="bottom"/>
          </w:tcPr>
          <w:p>
            <w:pPr>
              <w:spacing w:after="0"/>
              <w:rPr>
                <w:sz w:val="1"/>
                <w:szCs w:val="1"/>
                <w:color w:val="auto"/>
              </w:rPr>
            </w:pPr>
          </w:p>
        </w:tc>
      </w:tr>
      <w:tr>
        <w:trPr>
          <w:trHeight w:val="23"/>
        </w:trPr>
        <w:tc>
          <w:tcPr>
            <w:tcW w:w="348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80" w:type="dxa"/>
            <w:vAlign w:val="bottom"/>
            <w:tcBorders>
              <w:bottom w:val="single" w:sz="8" w:color="CCEEFF"/>
              <w:right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40" w:type="dxa"/>
            <w:vAlign w:val="bottom"/>
            <w:tcBorders>
              <w:bottom w:val="single" w:sz="8" w:color="auto"/>
              <w:right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CCEEFF"/>
              <w:right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5"/>
        </w:trPr>
        <w:tc>
          <w:tcPr>
            <w:tcW w:w="3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as of September 30, 2026</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124,677</w:t>
            </w:r>
          </w:p>
        </w:tc>
        <w:tc>
          <w:tcPr>
            <w:tcW w:w="8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1,247</w:t>
            </w:r>
          </w:p>
        </w:tc>
        <w:tc>
          <w:tcPr>
            <w:tcW w:w="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2,838,885</w:t>
            </w:r>
          </w:p>
        </w:tc>
        <w:tc>
          <w:tcPr>
            <w:tcW w:w="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(1,957,040)</w:t>
            </w:r>
          </w:p>
        </w:tc>
        <w:tc>
          <w:tcPr>
            <w:tcW w:w="180" w:type="dxa"/>
            <w:vAlign w:val="bottom"/>
            <w:tcBorders>
              <w:bottom w:val="single" w:sz="8" w:color="CCEEFF"/>
              <w:right w:val="single" w:sz="8" w:color="auto"/>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bottom w:val="single" w:sz="8" w:color="auto"/>
              <w:right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883,092</w:t>
            </w:r>
          </w:p>
        </w:tc>
        <w:tc>
          <w:tcPr>
            <w:tcW w:w="4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(13,299)</w:t>
            </w:r>
          </w:p>
        </w:tc>
        <w:tc>
          <w:tcPr>
            <w:tcW w:w="120" w:type="dxa"/>
            <w:vAlign w:val="bottom"/>
            <w:tcBorders>
              <w:bottom w:val="single" w:sz="8" w:color="CCEEFF"/>
              <w:right w:val="single" w:sz="8" w:color="auto"/>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ind w:right="43"/>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tcBorders>
              <w:bottom w:val="single" w:sz="8" w:color="auto"/>
              <w:right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869,793</w:t>
            </w:r>
          </w:p>
        </w:tc>
        <w:tc>
          <w:tcPr>
            <w:tcW w:w="0" w:type="dxa"/>
            <w:vAlign w:val="bottom"/>
          </w:tcPr>
          <w:p>
            <w:pPr>
              <w:spacing w:after="0"/>
              <w:rPr>
                <w:sz w:val="1"/>
                <w:szCs w:val="1"/>
                <w:color w:val="auto"/>
              </w:rPr>
            </w:pPr>
          </w:p>
        </w:tc>
      </w:tr>
      <w:tr>
        <w:trPr>
          <w:trHeight w:val="20"/>
        </w:trPr>
        <w:tc>
          <w:tcPr>
            <w:tcW w:w="348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2480"/>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363"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600"/>
          </w:cols>
          <w:pgMar w:left="320" w:top="121" w:right="97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BRIGHTSPIRE CAPITAL,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38" w:lineRule="exact"/>
        <w:rPr>
          <w:sz w:val="20"/>
          <w:szCs w:val="20"/>
          <w:color w:val="auto"/>
        </w:rPr>
      </w:pPr>
    </w:p>
    <w:tbl>
      <w:tblPr>
        <w:tblLayout w:type="fixed"/>
        <w:tblInd w:w="20" w:type="dxa"/>
        <w:tblCellMar>
          <w:top w:w="0" w:type="dxa"/>
          <w:left w:w="0" w:type="dxa"/>
          <w:bottom w:w="0" w:type="dxa"/>
          <w:right w:w="0" w:type="dxa"/>
        </w:tblCellMar>
      </w:tblPr>
      <w:tr>
        <w:trPr>
          <w:trHeight w:val="190"/>
        </w:trPr>
        <w:tc>
          <w:tcPr>
            <w:tcW w:w="83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600" w:type="dxa"/>
            <w:vAlign w:val="bottom"/>
            <w:gridSpan w:val="4"/>
          </w:tcPr>
          <w:p>
            <w:pPr>
              <w:jc w:val="right"/>
              <w:ind w:right="268"/>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23"/>
        </w:trPr>
        <w:tc>
          <w:tcPr>
            <w:tcW w:w="83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186"/>
        </w:trPr>
        <w:tc>
          <w:tcPr>
            <w:tcW w:w="83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40" w:type="dxa"/>
            <w:vAlign w:val="bottom"/>
          </w:tcPr>
          <w:p>
            <w:pPr>
              <w:jc w:val="right"/>
              <w:ind w:right="448"/>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jc w:val="right"/>
              <w:ind w:right="468"/>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23"/>
        </w:trPr>
        <w:tc>
          <w:tcPr>
            <w:tcW w:w="83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176"/>
        </w:trPr>
        <w:tc>
          <w:tcPr>
            <w:tcW w:w="83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Cash flows from operating activities:</w:t>
            </w:r>
          </w:p>
        </w:tc>
        <w:tc>
          <w:tcPr>
            <w:tcW w:w="220" w:type="dxa"/>
            <w:vAlign w:val="bottom"/>
            <w:tcBorders>
              <w:bottom w:val="single" w:sz="8" w:color="CCEEFF"/>
            </w:tcBorders>
            <w:shd w:val="clear" w:color="auto" w:fill="CCEEFF"/>
          </w:tcPr>
          <w:p>
            <w:pPr>
              <w:spacing w:after="0"/>
              <w:rPr>
                <w:sz w:val="15"/>
                <w:szCs w:val="15"/>
                <w:color w:val="auto"/>
              </w:rPr>
            </w:pPr>
          </w:p>
        </w:tc>
        <w:tc>
          <w:tcPr>
            <w:tcW w:w="114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CCEEFF"/>
            </w:tcBorders>
            <w:shd w:val="clear" w:color="auto" w:fill="CCEEFF"/>
          </w:tcPr>
          <w:p>
            <w:pPr>
              <w:spacing w:after="0"/>
              <w:rPr>
                <w:sz w:val="15"/>
                <w:szCs w:val="15"/>
                <w:color w:val="auto"/>
              </w:rPr>
            </w:pPr>
          </w:p>
        </w:tc>
        <w:tc>
          <w:tcPr>
            <w:tcW w:w="1040" w:type="dxa"/>
            <w:vAlign w:val="bottom"/>
            <w:tcBorders>
              <w:bottom w:val="single" w:sz="8" w:color="CCEEFF"/>
            </w:tcBorders>
            <w:shd w:val="clear" w:color="auto" w:fill="CCEEFF"/>
          </w:tcPr>
          <w:p>
            <w:pPr>
              <w:spacing w:after="0"/>
              <w:rPr>
                <w:sz w:val="15"/>
                <w:szCs w:val="15"/>
                <w:color w:val="auto"/>
              </w:rPr>
            </w:pPr>
          </w:p>
        </w:tc>
      </w:tr>
      <w:tr>
        <w:trPr>
          <w:trHeight w:val="193"/>
        </w:trPr>
        <w:tc>
          <w:tcPr>
            <w:tcW w:w="83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Net income (loss)</w:t>
            </w:r>
          </w:p>
        </w:tc>
        <w:tc>
          <w:tcPr>
            <w:tcW w:w="2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30,175</w:t>
            </w:r>
          </w:p>
        </w:tc>
        <w:tc>
          <w:tcPr>
            <w:tcW w:w="100" w:type="dxa"/>
            <w:vAlign w:val="bottom"/>
          </w:tcPr>
          <w:p>
            <w:pPr>
              <w:spacing w:after="0"/>
              <w:rPr>
                <w:sz w:val="16"/>
                <w:szCs w:val="16"/>
                <w:color w:val="auto"/>
              </w:rPr>
            </w:pPr>
          </w:p>
        </w:tc>
        <w:tc>
          <w:tcPr>
            <w:tcW w:w="32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(22,769)</w:t>
            </w:r>
          </w:p>
        </w:tc>
      </w:tr>
      <w:tr>
        <w:trPr>
          <w:trHeight w:val="23"/>
        </w:trPr>
        <w:tc>
          <w:tcPr>
            <w:tcW w:w="83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196"/>
        </w:trPr>
        <w:tc>
          <w:tcPr>
            <w:tcW w:w="83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Adjustments to reconcile net loss to net cash provided by operating activities:</w:t>
            </w:r>
          </w:p>
        </w:tc>
        <w:tc>
          <w:tcPr>
            <w:tcW w:w="22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spacing w:after="0"/>
              <w:rPr>
                <w:sz w:val="17"/>
                <w:szCs w:val="17"/>
                <w:color w:val="auto"/>
              </w:rPr>
            </w:pPr>
          </w:p>
        </w:tc>
        <w:tc>
          <w:tcPr>
            <w:tcW w:w="1040" w:type="dxa"/>
            <w:vAlign w:val="bottom"/>
            <w:tcBorders>
              <w:bottom w:val="single" w:sz="8" w:color="CCEEFF"/>
            </w:tcBorders>
            <w:shd w:val="clear" w:color="auto" w:fill="CCEEFF"/>
          </w:tcPr>
          <w:p>
            <w:pPr>
              <w:spacing w:after="0"/>
              <w:rPr>
                <w:sz w:val="17"/>
                <w:szCs w:val="17"/>
                <w:color w:val="auto"/>
              </w:rPr>
            </w:pPr>
          </w:p>
        </w:tc>
      </w:tr>
      <w:tr>
        <w:trPr>
          <w:trHeight w:val="193"/>
        </w:trPr>
        <w:tc>
          <w:tcPr>
            <w:tcW w:w="838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Equity in (earnings) losses of unconsolidated ventures</w:t>
            </w:r>
          </w:p>
        </w:tc>
        <w:tc>
          <w:tcPr>
            <w:tcW w:w="22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602</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3"/>
        </w:trPr>
        <w:tc>
          <w:tcPr>
            <w:tcW w:w="83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196"/>
        </w:trPr>
        <w:tc>
          <w:tcPr>
            <w:tcW w:w="838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22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20,897</w:t>
            </w:r>
          </w:p>
        </w:tc>
        <w:tc>
          <w:tcPr>
            <w:tcW w:w="10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spacing w:after="0"/>
              <w:rPr>
                <w:sz w:val="17"/>
                <w:szCs w:val="17"/>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28,346</w:t>
            </w:r>
          </w:p>
        </w:tc>
      </w:tr>
      <w:tr>
        <w:trPr>
          <w:trHeight w:val="193"/>
        </w:trPr>
        <w:tc>
          <w:tcPr>
            <w:tcW w:w="838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Straight-line rental income</w:t>
            </w:r>
          </w:p>
        </w:tc>
        <w:tc>
          <w:tcPr>
            <w:tcW w:w="22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(199)</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(1,033)</w:t>
            </w:r>
          </w:p>
        </w:tc>
      </w:tr>
      <w:tr>
        <w:trPr>
          <w:trHeight w:val="23"/>
        </w:trPr>
        <w:tc>
          <w:tcPr>
            <w:tcW w:w="83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196"/>
        </w:trPr>
        <w:tc>
          <w:tcPr>
            <w:tcW w:w="838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Origination fees received, net of discount accretion and fee amortization</w:t>
            </w:r>
          </w:p>
        </w:tc>
        <w:tc>
          <w:tcPr>
            <w:tcW w:w="22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4,627</w:t>
            </w:r>
          </w:p>
        </w:tc>
        <w:tc>
          <w:tcPr>
            <w:tcW w:w="10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spacing w:after="0"/>
              <w:rPr>
                <w:sz w:val="17"/>
                <w:szCs w:val="17"/>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(133)</w:t>
            </w:r>
          </w:p>
        </w:tc>
      </w:tr>
      <w:tr>
        <w:trPr>
          <w:trHeight w:val="193"/>
        </w:trPr>
        <w:tc>
          <w:tcPr>
            <w:tcW w:w="838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Amortization of deferred financing costs</w:t>
            </w:r>
          </w:p>
        </w:tc>
        <w:tc>
          <w:tcPr>
            <w:tcW w:w="22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7,767</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6,198</w:t>
            </w:r>
          </w:p>
        </w:tc>
      </w:tr>
      <w:tr>
        <w:trPr>
          <w:trHeight w:val="23"/>
        </w:trPr>
        <w:tc>
          <w:tcPr>
            <w:tcW w:w="83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196"/>
        </w:trPr>
        <w:tc>
          <w:tcPr>
            <w:tcW w:w="838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Paid-in-kind interest added to loan principal</w:t>
            </w:r>
          </w:p>
        </w:tc>
        <w:tc>
          <w:tcPr>
            <w:tcW w:w="22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(1,667)</w:t>
            </w:r>
          </w:p>
        </w:tc>
        <w:tc>
          <w:tcPr>
            <w:tcW w:w="10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spacing w:after="0"/>
              <w:rPr>
                <w:sz w:val="17"/>
                <w:szCs w:val="17"/>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(1,787)</w:t>
            </w:r>
          </w:p>
        </w:tc>
      </w:tr>
      <w:tr>
        <w:trPr>
          <w:trHeight w:val="193"/>
        </w:trPr>
        <w:tc>
          <w:tcPr>
            <w:tcW w:w="838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Designated hedges and foreign currency translation reclassified to earnings</w:t>
            </w:r>
          </w:p>
        </w:tc>
        <w:tc>
          <w:tcPr>
            <w:tcW w:w="220" w:type="dxa"/>
            <w:vAlign w:val="bottom"/>
          </w:tcPr>
          <w:p>
            <w:pPr>
              <w:spacing w:after="0"/>
              <w:rPr>
                <w:sz w:val="16"/>
                <w:szCs w:val="16"/>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3,362</w:t>
            </w:r>
          </w:p>
        </w:tc>
      </w:tr>
      <w:tr>
        <w:trPr>
          <w:trHeight w:val="23"/>
        </w:trPr>
        <w:tc>
          <w:tcPr>
            <w:tcW w:w="83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196"/>
        </w:trPr>
        <w:tc>
          <w:tcPr>
            <w:tcW w:w="838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Realized (gain) loss on sale of real estate</w:t>
            </w:r>
          </w:p>
        </w:tc>
        <w:tc>
          <w:tcPr>
            <w:tcW w:w="22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(60,291)</w:t>
            </w:r>
          </w:p>
        </w:tc>
        <w:tc>
          <w:tcPr>
            <w:tcW w:w="10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spacing w:after="0"/>
              <w:rPr>
                <w:sz w:val="17"/>
                <w:szCs w:val="17"/>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764</w:t>
            </w:r>
          </w:p>
        </w:tc>
      </w:tr>
      <w:tr>
        <w:trPr>
          <w:trHeight w:val="193"/>
        </w:trPr>
        <w:tc>
          <w:tcPr>
            <w:tcW w:w="838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Increase of current expected credit loss reserve</w:t>
            </w:r>
          </w:p>
        </w:tc>
        <w:tc>
          <w:tcPr>
            <w:tcW w:w="22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30,286</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8,562</w:t>
            </w:r>
          </w:p>
        </w:tc>
      </w:tr>
      <w:tr>
        <w:trPr>
          <w:trHeight w:val="23"/>
        </w:trPr>
        <w:tc>
          <w:tcPr>
            <w:tcW w:w="83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196"/>
        </w:trPr>
        <w:tc>
          <w:tcPr>
            <w:tcW w:w="838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Impairment of operating real estate</w:t>
            </w:r>
          </w:p>
        </w:tc>
        <w:tc>
          <w:tcPr>
            <w:tcW w:w="22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15,256</w:t>
            </w:r>
          </w:p>
        </w:tc>
        <w:tc>
          <w:tcPr>
            <w:tcW w:w="10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spacing w:after="0"/>
              <w:rPr>
                <w:sz w:val="17"/>
                <w:szCs w:val="17"/>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53,636</w:t>
            </w:r>
          </w:p>
        </w:tc>
      </w:tr>
      <w:tr>
        <w:trPr>
          <w:trHeight w:val="193"/>
        </w:trPr>
        <w:tc>
          <w:tcPr>
            <w:tcW w:w="838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Amortization of equity-based compensation</w:t>
            </w:r>
          </w:p>
        </w:tc>
        <w:tc>
          <w:tcPr>
            <w:tcW w:w="22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9,942</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9,920</w:t>
            </w:r>
          </w:p>
        </w:tc>
      </w:tr>
      <w:tr>
        <w:trPr>
          <w:trHeight w:val="23"/>
        </w:trPr>
        <w:tc>
          <w:tcPr>
            <w:tcW w:w="83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196"/>
        </w:trPr>
        <w:tc>
          <w:tcPr>
            <w:tcW w:w="838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Non-cash adjustments</w:t>
            </w:r>
          </w:p>
        </w:tc>
        <w:tc>
          <w:tcPr>
            <w:tcW w:w="22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w:t>
            </w:r>
          </w:p>
        </w:tc>
        <w:tc>
          <w:tcPr>
            <w:tcW w:w="10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spacing w:after="0"/>
              <w:rPr>
                <w:sz w:val="17"/>
                <w:szCs w:val="17"/>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164</w:t>
            </w:r>
          </w:p>
        </w:tc>
      </w:tr>
      <w:tr>
        <w:trPr>
          <w:trHeight w:val="193"/>
        </w:trPr>
        <w:tc>
          <w:tcPr>
            <w:tcW w:w="838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Deferred income tax (benefit) expense</w:t>
            </w:r>
          </w:p>
        </w:tc>
        <w:tc>
          <w:tcPr>
            <w:tcW w:w="22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94</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(21,781)</w:t>
            </w:r>
          </w:p>
        </w:tc>
      </w:tr>
      <w:tr>
        <w:trPr>
          <w:trHeight w:val="23"/>
        </w:trPr>
        <w:tc>
          <w:tcPr>
            <w:tcW w:w="83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196"/>
        </w:trPr>
        <w:tc>
          <w:tcPr>
            <w:tcW w:w="83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Changes in assets and liabilities:</w:t>
            </w:r>
          </w:p>
        </w:tc>
        <w:tc>
          <w:tcPr>
            <w:tcW w:w="22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spacing w:after="0"/>
              <w:rPr>
                <w:sz w:val="17"/>
                <w:szCs w:val="17"/>
                <w:color w:val="auto"/>
              </w:rPr>
            </w:pPr>
          </w:p>
        </w:tc>
        <w:tc>
          <w:tcPr>
            <w:tcW w:w="1040" w:type="dxa"/>
            <w:vAlign w:val="bottom"/>
            <w:tcBorders>
              <w:bottom w:val="single" w:sz="8" w:color="CCEEFF"/>
            </w:tcBorders>
            <w:shd w:val="clear" w:color="auto" w:fill="CCEEFF"/>
          </w:tcPr>
          <w:p>
            <w:pPr>
              <w:spacing w:after="0"/>
              <w:rPr>
                <w:sz w:val="17"/>
                <w:szCs w:val="17"/>
                <w:color w:val="auto"/>
              </w:rPr>
            </w:pPr>
          </w:p>
        </w:tc>
      </w:tr>
      <w:tr>
        <w:trPr>
          <w:trHeight w:val="193"/>
        </w:trPr>
        <w:tc>
          <w:tcPr>
            <w:tcW w:w="838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Receivables, net</w:t>
            </w:r>
          </w:p>
        </w:tc>
        <w:tc>
          <w:tcPr>
            <w:tcW w:w="22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(10,814)</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(2,654)</w:t>
            </w:r>
          </w:p>
        </w:tc>
      </w:tr>
      <w:tr>
        <w:trPr>
          <w:trHeight w:val="23"/>
        </w:trPr>
        <w:tc>
          <w:tcPr>
            <w:tcW w:w="83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196"/>
        </w:trPr>
        <w:tc>
          <w:tcPr>
            <w:tcW w:w="838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Deferred costs and other assets</w:t>
            </w:r>
          </w:p>
        </w:tc>
        <w:tc>
          <w:tcPr>
            <w:tcW w:w="22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12,144</w:t>
            </w:r>
          </w:p>
        </w:tc>
        <w:tc>
          <w:tcPr>
            <w:tcW w:w="10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spacing w:after="0"/>
              <w:rPr>
                <w:sz w:val="17"/>
                <w:szCs w:val="17"/>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1,219</w:t>
            </w:r>
          </w:p>
        </w:tc>
      </w:tr>
      <w:tr>
        <w:trPr>
          <w:trHeight w:val="193"/>
        </w:trPr>
        <w:tc>
          <w:tcPr>
            <w:tcW w:w="838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Other liabilities</w:t>
            </w:r>
          </w:p>
        </w:tc>
        <w:tc>
          <w:tcPr>
            <w:tcW w:w="22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(1,902)</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(4,214)</w:t>
            </w:r>
          </w:p>
        </w:tc>
      </w:tr>
      <w:tr>
        <w:trPr>
          <w:trHeight w:val="23"/>
        </w:trPr>
        <w:tc>
          <w:tcPr>
            <w:tcW w:w="83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189"/>
        </w:trPr>
        <w:tc>
          <w:tcPr>
            <w:tcW w:w="83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cash provided by operating activities</w:t>
            </w:r>
          </w:p>
        </w:tc>
        <w:tc>
          <w:tcPr>
            <w:tcW w:w="220" w:type="dxa"/>
            <w:vAlign w:val="bottom"/>
            <w:tcBorders>
              <w:bottom w:val="single" w:sz="8" w:color="CCEEFF"/>
            </w:tcBorders>
            <w:shd w:val="clear" w:color="auto" w:fill="CCEEFF"/>
          </w:tcPr>
          <w:p>
            <w:pPr>
              <w:spacing w:after="0"/>
              <w:rPr>
                <w:sz w:val="16"/>
                <w:szCs w:val="16"/>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56,989</w:t>
            </w:r>
          </w:p>
        </w:tc>
        <w:tc>
          <w:tcPr>
            <w:tcW w:w="10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CCEEFF"/>
            </w:tcBorders>
            <w:shd w:val="clear" w:color="auto" w:fill="CCEEFF"/>
          </w:tcPr>
          <w:p>
            <w:pPr>
              <w:spacing w:after="0"/>
              <w:rPr>
                <w:sz w:val="16"/>
                <w:szCs w:val="16"/>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57,800</w:t>
            </w:r>
          </w:p>
        </w:tc>
      </w:tr>
      <w:tr>
        <w:trPr>
          <w:trHeight w:val="193"/>
        </w:trPr>
        <w:tc>
          <w:tcPr>
            <w:tcW w:w="83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Cash flows from investing activities:</w:t>
            </w:r>
          </w:p>
        </w:tc>
        <w:tc>
          <w:tcPr>
            <w:tcW w:w="2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spacing w:after="0"/>
              <w:rPr>
                <w:sz w:val="16"/>
                <w:szCs w:val="16"/>
                <w:color w:val="auto"/>
              </w:rPr>
            </w:pPr>
          </w:p>
        </w:tc>
      </w:tr>
      <w:tr>
        <w:trPr>
          <w:trHeight w:val="23"/>
        </w:trPr>
        <w:tc>
          <w:tcPr>
            <w:tcW w:w="83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196"/>
        </w:trPr>
        <w:tc>
          <w:tcPr>
            <w:tcW w:w="838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Acquisition, origination and funding of loans and preferred equity held for investment, net</w:t>
            </w:r>
          </w:p>
        </w:tc>
        <w:tc>
          <w:tcPr>
            <w:tcW w:w="22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(835,024)</w:t>
            </w:r>
          </w:p>
        </w:tc>
        <w:tc>
          <w:tcPr>
            <w:tcW w:w="10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spacing w:after="0"/>
              <w:rPr>
                <w:sz w:val="17"/>
                <w:szCs w:val="17"/>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(356,578)</w:t>
            </w:r>
          </w:p>
        </w:tc>
      </w:tr>
      <w:tr>
        <w:trPr>
          <w:trHeight w:val="193"/>
        </w:trPr>
        <w:tc>
          <w:tcPr>
            <w:tcW w:w="838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Repayment on loans held for investment</w:t>
            </w:r>
          </w:p>
        </w:tc>
        <w:tc>
          <w:tcPr>
            <w:tcW w:w="22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372,061</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243,630</w:t>
            </w:r>
          </w:p>
        </w:tc>
      </w:tr>
      <w:tr>
        <w:trPr>
          <w:trHeight w:val="23"/>
        </w:trPr>
        <w:tc>
          <w:tcPr>
            <w:tcW w:w="83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196"/>
        </w:trPr>
        <w:tc>
          <w:tcPr>
            <w:tcW w:w="838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Proceeds from sale of real estate</w:t>
            </w:r>
          </w:p>
        </w:tc>
        <w:tc>
          <w:tcPr>
            <w:tcW w:w="22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148,638</w:t>
            </w:r>
          </w:p>
        </w:tc>
        <w:tc>
          <w:tcPr>
            <w:tcW w:w="10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spacing w:after="0"/>
              <w:rPr>
                <w:sz w:val="17"/>
                <w:szCs w:val="17"/>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39,554</w:t>
            </w:r>
          </w:p>
        </w:tc>
      </w:tr>
      <w:tr>
        <w:trPr>
          <w:trHeight w:val="193"/>
        </w:trPr>
        <w:tc>
          <w:tcPr>
            <w:tcW w:w="838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Cash and restricted cash received related to consolidation of loans held for investment and real estate owned</w:t>
            </w:r>
          </w:p>
        </w:tc>
        <w:tc>
          <w:tcPr>
            <w:tcW w:w="22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2,433</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6,141</w:t>
            </w:r>
          </w:p>
        </w:tc>
      </w:tr>
      <w:tr>
        <w:trPr>
          <w:trHeight w:val="23"/>
        </w:trPr>
        <w:tc>
          <w:tcPr>
            <w:tcW w:w="83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196"/>
        </w:trPr>
        <w:tc>
          <w:tcPr>
            <w:tcW w:w="838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Cash and restricted cash relinquished in deconsolidation of subsidiaries</w:t>
            </w:r>
          </w:p>
        </w:tc>
        <w:tc>
          <w:tcPr>
            <w:tcW w:w="22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(1,194)</w:t>
            </w:r>
          </w:p>
        </w:tc>
        <w:tc>
          <w:tcPr>
            <w:tcW w:w="10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spacing w:after="0"/>
              <w:rPr>
                <w:sz w:val="17"/>
                <w:szCs w:val="17"/>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(5,638)</w:t>
            </w:r>
          </w:p>
        </w:tc>
      </w:tr>
      <w:tr>
        <w:trPr>
          <w:trHeight w:val="193"/>
        </w:trPr>
        <w:tc>
          <w:tcPr>
            <w:tcW w:w="838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Acquisition of and additions to real estate and related intangibles</w:t>
            </w:r>
          </w:p>
        </w:tc>
        <w:tc>
          <w:tcPr>
            <w:tcW w:w="22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(4,041)</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(10,837)</w:t>
            </w:r>
          </w:p>
        </w:tc>
      </w:tr>
      <w:tr>
        <w:trPr>
          <w:trHeight w:val="23"/>
        </w:trPr>
        <w:tc>
          <w:tcPr>
            <w:tcW w:w="83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16"/>
        </w:trPr>
        <w:tc>
          <w:tcPr>
            <w:tcW w:w="838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Change in escrow deposits payable</w:t>
            </w:r>
          </w:p>
        </w:tc>
        <w:tc>
          <w:tcPr>
            <w:tcW w:w="22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5,628</w:t>
            </w: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(4,338)</w:t>
            </w:r>
          </w:p>
        </w:tc>
      </w:tr>
      <w:tr>
        <w:trPr>
          <w:trHeight w:val="186"/>
        </w:trPr>
        <w:tc>
          <w:tcPr>
            <w:tcW w:w="83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cash used in investing activities</w:t>
            </w:r>
          </w:p>
        </w:tc>
        <w:tc>
          <w:tcPr>
            <w:tcW w:w="22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(311,499)</w:t>
            </w:r>
          </w:p>
        </w:tc>
        <w:tc>
          <w:tcPr>
            <w:tcW w:w="100" w:type="dxa"/>
            <w:vAlign w:val="bottom"/>
          </w:tcPr>
          <w:p>
            <w:pPr>
              <w:spacing w:after="0"/>
              <w:rPr>
                <w:sz w:val="16"/>
                <w:szCs w:val="16"/>
                <w:color w:val="auto"/>
              </w:rPr>
            </w:pPr>
          </w:p>
        </w:tc>
        <w:tc>
          <w:tcPr>
            <w:tcW w:w="32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(88,066)</w:t>
            </w:r>
          </w:p>
        </w:tc>
      </w:tr>
      <w:tr>
        <w:trPr>
          <w:trHeight w:val="23"/>
        </w:trPr>
        <w:tc>
          <w:tcPr>
            <w:tcW w:w="83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196"/>
        </w:trPr>
        <w:tc>
          <w:tcPr>
            <w:tcW w:w="83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Cash flows from financing activities:</w:t>
            </w:r>
          </w:p>
        </w:tc>
        <w:tc>
          <w:tcPr>
            <w:tcW w:w="22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spacing w:after="0"/>
              <w:rPr>
                <w:sz w:val="17"/>
                <w:szCs w:val="17"/>
                <w:color w:val="auto"/>
              </w:rPr>
            </w:pPr>
          </w:p>
        </w:tc>
        <w:tc>
          <w:tcPr>
            <w:tcW w:w="1040" w:type="dxa"/>
            <w:vAlign w:val="bottom"/>
            <w:tcBorders>
              <w:bottom w:val="single" w:sz="8" w:color="CCEEFF"/>
            </w:tcBorders>
            <w:shd w:val="clear" w:color="auto" w:fill="CCEEFF"/>
          </w:tcPr>
          <w:p>
            <w:pPr>
              <w:spacing w:after="0"/>
              <w:rPr>
                <w:sz w:val="17"/>
                <w:szCs w:val="17"/>
                <w:color w:val="auto"/>
              </w:rPr>
            </w:pPr>
          </w:p>
        </w:tc>
      </w:tr>
      <w:tr>
        <w:trPr>
          <w:trHeight w:val="193"/>
        </w:trPr>
        <w:tc>
          <w:tcPr>
            <w:tcW w:w="838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Distributions paid on common stock</w:t>
            </w:r>
          </w:p>
        </w:tc>
        <w:tc>
          <w:tcPr>
            <w:tcW w:w="22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(63,021)</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(62,412)</w:t>
            </w:r>
          </w:p>
        </w:tc>
      </w:tr>
      <w:tr>
        <w:trPr>
          <w:trHeight w:val="23"/>
        </w:trPr>
        <w:tc>
          <w:tcPr>
            <w:tcW w:w="83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196"/>
        </w:trPr>
        <w:tc>
          <w:tcPr>
            <w:tcW w:w="838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Shares canceled for tax withholding on vested stock awards</w:t>
            </w:r>
          </w:p>
        </w:tc>
        <w:tc>
          <w:tcPr>
            <w:tcW w:w="22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(5,041)</w:t>
            </w:r>
          </w:p>
        </w:tc>
        <w:tc>
          <w:tcPr>
            <w:tcW w:w="10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spacing w:after="0"/>
              <w:rPr>
                <w:sz w:val="17"/>
                <w:szCs w:val="17"/>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(3,878)</w:t>
            </w:r>
          </w:p>
        </w:tc>
      </w:tr>
      <w:tr>
        <w:trPr>
          <w:trHeight w:val="193"/>
        </w:trPr>
        <w:tc>
          <w:tcPr>
            <w:tcW w:w="838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Repurchase of common stock</w:t>
            </w:r>
          </w:p>
        </w:tc>
        <w:tc>
          <w:tcPr>
            <w:tcW w:w="22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(29,432)</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(4,972)</w:t>
            </w:r>
          </w:p>
        </w:tc>
      </w:tr>
      <w:tr>
        <w:trPr>
          <w:trHeight w:val="23"/>
        </w:trPr>
        <w:tc>
          <w:tcPr>
            <w:tcW w:w="83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196"/>
        </w:trPr>
        <w:tc>
          <w:tcPr>
            <w:tcW w:w="838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Repayment of mortgage notes</w:t>
            </w:r>
          </w:p>
        </w:tc>
        <w:tc>
          <w:tcPr>
            <w:tcW w:w="22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(4,096)</w:t>
            </w:r>
          </w:p>
        </w:tc>
        <w:tc>
          <w:tcPr>
            <w:tcW w:w="10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spacing w:after="0"/>
              <w:rPr>
                <w:sz w:val="17"/>
                <w:szCs w:val="17"/>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(4,184)</w:t>
            </w:r>
          </w:p>
        </w:tc>
      </w:tr>
      <w:tr>
        <w:trPr>
          <w:trHeight w:val="193"/>
        </w:trPr>
        <w:tc>
          <w:tcPr>
            <w:tcW w:w="838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Borrowings from master repurchase and credit facilities</w:t>
            </w:r>
          </w:p>
        </w:tc>
        <w:tc>
          <w:tcPr>
            <w:tcW w:w="22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1,243,981</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229,285</w:t>
            </w:r>
          </w:p>
        </w:tc>
      </w:tr>
      <w:tr>
        <w:trPr>
          <w:trHeight w:val="23"/>
        </w:trPr>
        <w:tc>
          <w:tcPr>
            <w:tcW w:w="83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196"/>
        </w:trPr>
        <w:tc>
          <w:tcPr>
            <w:tcW w:w="838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Repayment of master repurchase and credit facilities</w:t>
            </w:r>
          </w:p>
        </w:tc>
        <w:tc>
          <w:tcPr>
            <w:tcW w:w="22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(1,262,226)</w:t>
            </w:r>
          </w:p>
        </w:tc>
        <w:tc>
          <w:tcPr>
            <w:tcW w:w="10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spacing w:after="0"/>
              <w:rPr>
                <w:sz w:val="17"/>
                <w:szCs w:val="17"/>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(235,798)</w:t>
            </w:r>
          </w:p>
        </w:tc>
      </w:tr>
      <w:tr>
        <w:trPr>
          <w:trHeight w:val="193"/>
        </w:trPr>
        <w:tc>
          <w:tcPr>
            <w:tcW w:w="838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Borrowing from securitization bonds</w:t>
            </w:r>
          </w:p>
        </w:tc>
        <w:tc>
          <w:tcPr>
            <w:tcW w:w="22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833,237</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3"/>
        </w:trPr>
        <w:tc>
          <w:tcPr>
            <w:tcW w:w="83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196"/>
        </w:trPr>
        <w:tc>
          <w:tcPr>
            <w:tcW w:w="838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Repayment of securitization bonds</w:t>
            </w:r>
          </w:p>
        </w:tc>
        <w:tc>
          <w:tcPr>
            <w:tcW w:w="22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(444,305)</w:t>
            </w:r>
          </w:p>
        </w:tc>
        <w:tc>
          <w:tcPr>
            <w:tcW w:w="10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spacing w:after="0"/>
              <w:rPr>
                <w:sz w:val="17"/>
                <w:szCs w:val="17"/>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(111,734)</w:t>
            </w:r>
          </w:p>
        </w:tc>
      </w:tr>
      <w:tr>
        <w:trPr>
          <w:trHeight w:val="193"/>
        </w:trPr>
        <w:tc>
          <w:tcPr>
            <w:tcW w:w="838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Payment of deferred financing costs</w:t>
            </w:r>
          </w:p>
        </w:tc>
        <w:tc>
          <w:tcPr>
            <w:tcW w:w="22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(10,825)</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(4,990)</w:t>
            </w:r>
          </w:p>
        </w:tc>
      </w:tr>
      <w:tr>
        <w:trPr>
          <w:trHeight w:val="23"/>
        </w:trPr>
        <w:tc>
          <w:tcPr>
            <w:tcW w:w="83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10"/>
        </w:trPr>
        <w:tc>
          <w:tcPr>
            <w:tcW w:w="83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cash provided by (used in) financing activities</w:t>
            </w:r>
          </w:p>
        </w:tc>
        <w:tc>
          <w:tcPr>
            <w:tcW w:w="22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258,272</w:t>
            </w: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(198,683)</w:t>
            </w:r>
          </w:p>
        </w:tc>
      </w:tr>
      <w:tr>
        <w:trPr>
          <w:trHeight w:val="186"/>
        </w:trPr>
        <w:tc>
          <w:tcPr>
            <w:tcW w:w="838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Effect of exchange rates on cash, cash equivalents and restricted cash</w:t>
            </w:r>
          </w:p>
        </w:tc>
        <w:tc>
          <w:tcPr>
            <w:tcW w:w="22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32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(180)</w:t>
            </w:r>
          </w:p>
        </w:tc>
      </w:tr>
      <w:tr>
        <w:trPr>
          <w:trHeight w:val="23"/>
        </w:trPr>
        <w:tc>
          <w:tcPr>
            <w:tcW w:w="83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189"/>
        </w:trPr>
        <w:tc>
          <w:tcPr>
            <w:tcW w:w="83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increase (decrease) in cash, cash equivalents and restricted cash</w:t>
            </w:r>
          </w:p>
        </w:tc>
        <w:tc>
          <w:tcPr>
            <w:tcW w:w="220" w:type="dxa"/>
            <w:vAlign w:val="bottom"/>
            <w:tcBorders>
              <w:bottom w:val="single" w:sz="8" w:color="CCEEFF"/>
            </w:tcBorders>
            <w:shd w:val="clear" w:color="auto" w:fill="CCEEFF"/>
          </w:tcPr>
          <w:p>
            <w:pPr>
              <w:spacing w:after="0"/>
              <w:rPr>
                <w:sz w:val="16"/>
                <w:szCs w:val="16"/>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3,762</w:t>
            </w:r>
          </w:p>
        </w:tc>
        <w:tc>
          <w:tcPr>
            <w:tcW w:w="10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CCEEFF"/>
            </w:tcBorders>
            <w:shd w:val="clear" w:color="auto" w:fill="CCEEFF"/>
          </w:tcPr>
          <w:p>
            <w:pPr>
              <w:spacing w:after="0"/>
              <w:rPr>
                <w:sz w:val="16"/>
                <w:szCs w:val="16"/>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(229,129)</w:t>
            </w:r>
          </w:p>
        </w:tc>
      </w:tr>
      <w:tr>
        <w:trPr>
          <w:trHeight w:val="193"/>
        </w:trPr>
        <w:tc>
          <w:tcPr>
            <w:tcW w:w="83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Cash, cash equivalents and restricted cash - beginning of period</w:t>
            </w:r>
          </w:p>
        </w:tc>
        <w:tc>
          <w:tcPr>
            <w:tcW w:w="22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173,835</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450,696</w:t>
            </w:r>
          </w:p>
        </w:tc>
      </w:tr>
      <w:tr>
        <w:trPr>
          <w:trHeight w:val="23"/>
        </w:trPr>
        <w:tc>
          <w:tcPr>
            <w:tcW w:w="83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34"/>
        </w:trPr>
        <w:tc>
          <w:tcPr>
            <w:tcW w:w="83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cash equivalents and restricted cash - end of period</w:t>
            </w:r>
          </w:p>
        </w:tc>
        <w:tc>
          <w:tcPr>
            <w:tcW w:w="220" w:type="dxa"/>
            <w:vAlign w:val="bottom"/>
            <w:tcBorders>
              <w:bottom w:val="single" w:sz="8" w:color="CCEEFF"/>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177,597</w:t>
            </w:r>
          </w:p>
        </w:tc>
        <w:tc>
          <w:tcPr>
            <w:tcW w:w="1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tcBorders>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221,567</w:t>
            </w:r>
          </w:p>
        </w:tc>
      </w:tr>
      <w:tr>
        <w:trPr>
          <w:trHeight w:val="20"/>
        </w:trPr>
        <w:tc>
          <w:tcPr>
            <w:tcW w:w="83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3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BRIGHTSPIRE CAPITAL,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 (Continued)</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95" w:lineRule="exact"/>
        <w:rPr>
          <w:sz w:val="20"/>
          <w:szCs w:val="20"/>
          <w:color w:val="auto"/>
        </w:rPr>
      </w:pPr>
    </w:p>
    <w:tbl>
      <w:tblPr>
        <w:tblLayout w:type="fixed"/>
        <w:tblInd w:w="60" w:type="dxa"/>
        <w:tblCellMar>
          <w:top w:w="0" w:type="dxa"/>
          <w:left w:w="0" w:type="dxa"/>
          <w:bottom w:w="0" w:type="dxa"/>
          <w:right w:w="0" w:type="dxa"/>
        </w:tblCellMar>
      </w:tblPr>
      <w:tr>
        <w:trPr>
          <w:trHeight w:val="190"/>
        </w:trPr>
        <w:tc>
          <w:tcPr>
            <w:tcW w:w="8320" w:type="dxa"/>
            <w:vAlign w:val="bottom"/>
          </w:tcPr>
          <w:p>
            <w:pPr>
              <w:spacing w:after="0"/>
              <w:rPr>
                <w:sz w:val="16"/>
                <w:szCs w:val="16"/>
                <w:color w:val="auto"/>
              </w:rPr>
            </w:pPr>
          </w:p>
        </w:tc>
        <w:tc>
          <w:tcPr>
            <w:tcW w:w="2820" w:type="dxa"/>
            <w:vAlign w:val="bottom"/>
            <w:gridSpan w:val="5"/>
          </w:tcPr>
          <w:p>
            <w:pPr>
              <w:jc w:val="right"/>
              <w:ind w:right="268"/>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23"/>
        </w:trPr>
        <w:tc>
          <w:tcPr>
            <w:tcW w:w="8320" w:type="dxa"/>
            <w:vAlign w:val="bottom"/>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186"/>
        </w:trPr>
        <w:tc>
          <w:tcPr>
            <w:tcW w:w="832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2026</w:t>
            </w: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60" w:type="dxa"/>
            <w:vAlign w:val="bottom"/>
          </w:tcPr>
          <w:p>
            <w:pPr>
              <w:jc w:val="right"/>
              <w:ind w:right="468"/>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23"/>
        </w:trPr>
        <w:tc>
          <w:tcPr>
            <w:tcW w:w="8320" w:type="dxa"/>
            <w:vAlign w:val="bottom"/>
            <w:tcBorders>
              <w:bottom w:val="single" w:sz="8" w:color="CCEEFF"/>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176"/>
        </w:trPr>
        <w:tc>
          <w:tcPr>
            <w:tcW w:w="83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Reconciliation of cash, cash equivalents and restricted cash to consolidated balance sheets</w:t>
            </w:r>
          </w:p>
        </w:tc>
        <w:tc>
          <w:tcPr>
            <w:tcW w:w="820" w:type="dxa"/>
            <w:vAlign w:val="bottom"/>
            <w:tcBorders>
              <w:bottom w:val="single" w:sz="8" w:color="CCEEFF"/>
            </w:tcBorders>
            <w:shd w:val="clear" w:color="auto" w:fill="CCEEFF"/>
          </w:tcPr>
          <w:p>
            <w:pPr>
              <w:spacing w:after="0"/>
              <w:rPr>
                <w:sz w:val="15"/>
                <w:szCs w:val="15"/>
                <w:color w:val="auto"/>
              </w:rPr>
            </w:pPr>
          </w:p>
        </w:tc>
        <w:tc>
          <w:tcPr>
            <w:tcW w:w="54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CCEEFF"/>
            </w:tcBorders>
            <w:shd w:val="clear" w:color="auto" w:fill="CCEEFF"/>
          </w:tcPr>
          <w:p>
            <w:pPr>
              <w:spacing w:after="0"/>
              <w:rPr>
                <w:sz w:val="15"/>
                <w:szCs w:val="15"/>
                <w:color w:val="auto"/>
              </w:rPr>
            </w:pPr>
          </w:p>
        </w:tc>
        <w:tc>
          <w:tcPr>
            <w:tcW w:w="1060" w:type="dxa"/>
            <w:vAlign w:val="bottom"/>
            <w:tcBorders>
              <w:bottom w:val="single" w:sz="8" w:color="CCEEFF"/>
            </w:tcBorders>
            <w:shd w:val="clear" w:color="auto" w:fill="CCEEFF"/>
          </w:tcPr>
          <w:p>
            <w:pPr>
              <w:spacing w:after="0"/>
              <w:rPr>
                <w:sz w:val="15"/>
                <w:szCs w:val="15"/>
                <w:color w:val="auto"/>
              </w:rPr>
            </w:pPr>
          </w:p>
        </w:tc>
      </w:tr>
      <w:tr>
        <w:trPr>
          <w:trHeight w:val="193"/>
        </w:trPr>
        <w:tc>
          <w:tcPr>
            <w:tcW w:w="83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Beginning of the period</w:t>
            </w:r>
          </w:p>
        </w:tc>
        <w:tc>
          <w:tcPr>
            <w:tcW w:w="8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60" w:type="dxa"/>
            <w:vAlign w:val="bottom"/>
          </w:tcPr>
          <w:p>
            <w:pPr>
              <w:spacing w:after="0"/>
              <w:rPr>
                <w:sz w:val="16"/>
                <w:szCs w:val="16"/>
                <w:color w:val="auto"/>
              </w:rPr>
            </w:pPr>
          </w:p>
        </w:tc>
      </w:tr>
      <w:tr>
        <w:trPr>
          <w:trHeight w:val="23"/>
        </w:trPr>
        <w:tc>
          <w:tcPr>
            <w:tcW w:w="8320" w:type="dxa"/>
            <w:vAlign w:val="bottom"/>
          </w:tcPr>
          <w:p>
            <w:pPr>
              <w:spacing w:after="0"/>
              <w:rPr>
                <w:sz w:val="2"/>
                <w:szCs w:val="2"/>
                <w:color w:val="auto"/>
              </w:rPr>
            </w:pPr>
          </w:p>
        </w:tc>
        <w:tc>
          <w:tcPr>
            <w:tcW w:w="8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196"/>
        </w:trPr>
        <w:tc>
          <w:tcPr>
            <w:tcW w:w="83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Cash and cash equivalents</w:t>
            </w:r>
          </w:p>
        </w:tc>
        <w:tc>
          <w:tcPr>
            <w:tcW w:w="820" w:type="dxa"/>
            <w:vAlign w:val="bottom"/>
            <w:tcBorders>
              <w:bottom w:val="single" w:sz="8" w:color="CCEEFF"/>
            </w:tcBorders>
            <w:shd w:val="clear" w:color="auto" w:fill="CCEEFF"/>
          </w:tcPr>
          <w:p>
            <w:pPr>
              <w:jc w:val="right"/>
              <w:ind w:right="668"/>
              <w:spacing w:after="0"/>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66,789</w:t>
            </w:r>
          </w:p>
        </w:tc>
        <w:tc>
          <w:tcPr>
            <w:tcW w:w="10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302,173</w:t>
            </w:r>
          </w:p>
        </w:tc>
      </w:tr>
      <w:tr>
        <w:trPr>
          <w:trHeight w:val="193"/>
        </w:trPr>
        <w:tc>
          <w:tcPr>
            <w:tcW w:w="832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Restricted cash</w:t>
            </w:r>
          </w:p>
        </w:tc>
        <w:tc>
          <w:tcPr>
            <w:tcW w:w="82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107,046</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148,523</w:t>
            </w:r>
          </w:p>
        </w:tc>
      </w:tr>
      <w:tr>
        <w:trPr>
          <w:trHeight w:val="23"/>
        </w:trPr>
        <w:tc>
          <w:tcPr>
            <w:tcW w:w="8320" w:type="dxa"/>
            <w:vAlign w:val="bottom"/>
            <w:tcBorders>
              <w:bottom w:val="single" w:sz="8" w:color="CCEEFF"/>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35"/>
        </w:trPr>
        <w:tc>
          <w:tcPr>
            <w:tcW w:w="83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cash, cash equivalents and restricted cash, beginning of period</w:t>
            </w:r>
          </w:p>
        </w:tc>
        <w:tc>
          <w:tcPr>
            <w:tcW w:w="820" w:type="dxa"/>
            <w:vAlign w:val="bottom"/>
            <w:tcBorders>
              <w:bottom w:val="single" w:sz="8" w:color="auto"/>
            </w:tcBorders>
            <w:shd w:val="clear" w:color="auto" w:fill="CCEEFF"/>
          </w:tcPr>
          <w:p>
            <w:pPr>
              <w:jc w:val="right"/>
              <w:ind w:right="668"/>
              <w:spacing w:after="0"/>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173,835</w:t>
            </w:r>
          </w:p>
        </w:tc>
        <w:tc>
          <w:tcPr>
            <w:tcW w:w="1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450,696</w:t>
            </w:r>
          </w:p>
        </w:tc>
      </w:tr>
      <w:tr>
        <w:trPr>
          <w:trHeight w:val="20"/>
        </w:trPr>
        <w:tc>
          <w:tcPr>
            <w:tcW w:w="832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r>
        <w:trPr>
          <w:trHeight w:val="149"/>
        </w:trPr>
        <w:tc>
          <w:tcPr>
            <w:tcW w:w="83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60" w:type="dxa"/>
            <w:vAlign w:val="bottom"/>
          </w:tcPr>
          <w:p>
            <w:pPr>
              <w:spacing w:after="0"/>
              <w:rPr>
                <w:sz w:val="13"/>
                <w:szCs w:val="13"/>
                <w:color w:val="auto"/>
              </w:rPr>
            </w:pPr>
          </w:p>
        </w:tc>
      </w:tr>
      <w:tr>
        <w:trPr>
          <w:trHeight w:val="196"/>
        </w:trPr>
        <w:tc>
          <w:tcPr>
            <w:tcW w:w="83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End of the period</w:t>
            </w:r>
          </w:p>
        </w:tc>
        <w:tc>
          <w:tcPr>
            <w:tcW w:w="820" w:type="dxa"/>
            <w:vAlign w:val="bottom"/>
            <w:tcBorders>
              <w:bottom w:val="single" w:sz="8" w:color="CCEEFF"/>
            </w:tcBorders>
            <w:shd w:val="clear" w:color="auto" w:fill="CCEEFF"/>
          </w:tcPr>
          <w:p>
            <w:pPr>
              <w:spacing w:after="0"/>
              <w:rPr>
                <w:sz w:val="17"/>
                <w:szCs w:val="17"/>
                <w:color w:val="auto"/>
              </w:rPr>
            </w:pPr>
          </w:p>
        </w:tc>
        <w:tc>
          <w:tcPr>
            <w:tcW w:w="5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1060" w:type="dxa"/>
            <w:vAlign w:val="bottom"/>
            <w:tcBorders>
              <w:bottom w:val="single" w:sz="8" w:color="CCEEFF"/>
            </w:tcBorders>
            <w:shd w:val="clear" w:color="auto" w:fill="CCEEFF"/>
          </w:tcPr>
          <w:p>
            <w:pPr>
              <w:spacing w:after="0"/>
              <w:rPr>
                <w:sz w:val="17"/>
                <w:szCs w:val="17"/>
                <w:color w:val="auto"/>
              </w:rPr>
            </w:pPr>
          </w:p>
        </w:tc>
      </w:tr>
      <w:tr>
        <w:trPr>
          <w:trHeight w:val="193"/>
        </w:trPr>
        <w:tc>
          <w:tcPr>
            <w:tcW w:w="832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Cash and cash equivalents</w:t>
            </w:r>
          </w:p>
        </w:tc>
        <w:tc>
          <w:tcPr>
            <w:tcW w:w="820" w:type="dxa"/>
            <w:vAlign w:val="bottom"/>
          </w:tcPr>
          <w:p>
            <w:pPr>
              <w:jc w:val="right"/>
              <w:ind w:right="668"/>
              <w:spacing w:after="0"/>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63,601</w:t>
            </w:r>
          </w:p>
        </w:tc>
        <w:tc>
          <w:tcPr>
            <w:tcW w:w="100" w:type="dxa"/>
            <w:vAlign w:val="bottom"/>
          </w:tcPr>
          <w:p>
            <w:pPr>
              <w:spacing w:after="0"/>
              <w:rPr>
                <w:sz w:val="16"/>
                <w:szCs w:val="16"/>
                <w:color w:val="auto"/>
              </w:rPr>
            </w:pPr>
          </w:p>
        </w:tc>
        <w:tc>
          <w:tcPr>
            <w:tcW w:w="30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113,378</w:t>
            </w:r>
          </w:p>
        </w:tc>
      </w:tr>
      <w:tr>
        <w:trPr>
          <w:trHeight w:val="23"/>
        </w:trPr>
        <w:tc>
          <w:tcPr>
            <w:tcW w:w="8320" w:type="dxa"/>
            <w:vAlign w:val="bottom"/>
          </w:tcPr>
          <w:p>
            <w:pPr>
              <w:spacing w:after="0"/>
              <w:rPr>
                <w:sz w:val="2"/>
                <w:szCs w:val="2"/>
                <w:color w:val="auto"/>
              </w:rPr>
            </w:pPr>
          </w:p>
        </w:tc>
        <w:tc>
          <w:tcPr>
            <w:tcW w:w="8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16"/>
        </w:trPr>
        <w:tc>
          <w:tcPr>
            <w:tcW w:w="83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Restricted cash</w:t>
            </w:r>
          </w:p>
        </w:tc>
        <w:tc>
          <w:tcPr>
            <w:tcW w:w="820" w:type="dxa"/>
            <w:vAlign w:val="bottom"/>
            <w:tcBorders>
              <w:bottom w:val="single" w:sz="8" w:color="CCEEFF"/>
            </w:tcBorders>
            <w:shd w:val="clear" w:color="auto" w:fill="CCEEFF"/>
          </w:tcPr>
          <w:p>
            <w:pPr>
              <w:spacing w:after="0"/>
              <w:rPr>
                <w:sz w:val="18"/>
                <w:szCs w:val="18"/>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113,996</w:t>
            </w:r>
          </w:p>
        </w:tc>
        <w:tc>
          <w:tcPr>
            <w:tcW w:w="10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108,189</w:t>
            </w:r>
          </w:p>
        </w:tc>
      </w:tr>
      <w:tr>
        <w:trPr>
          <w:trHeight w:val="209"/>
        </w:trPr>
        <w:tc>
          <w:tcPr>
            <w:tcW w:w="83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 cash, cash equivalents and restricted cash, end of period</w:t>
            </w:r>
          </w:p>
        </w:tc>
        <w:tc>
          <w:tcPr>
            <w:tcW w:w="820" w:type="dxa"/>
            <w:vAlign w:val="bottom"/>
            <w:tcBorders>
              <w:top w:val="single" w:sz="8" w:color="auto"/>
              <w:bottom w:val="single" w:sz="8" w:color="auto"/>
            </w:tcBorders>
          </w:tcPr>
          <w:p>
            <w:pPr>
              <w:jc w:val="right"/>
              <w:ind w:right="668"/>
              <w:spacing w:after="0"/>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177,597</w:t>
            </w:r>
          </w:p>
        </w:tc>
        <w:tc>
          <w:tcPr>
            <w:tcW w:w="100" w:type="dxa"/>
            <w:vAlign w:val="bottom"/>
          </w:tcPr>
          <w:p>
            <w:pPr>
              <w:spacing w:after="0"/>
              <w:rPr>
                <w:sz w:val="18"/>
                <w:szCs w:val="18"/>
                <w:color w:val="auto"/>
              </w:rPr>
            </w:pPr>
          </w:p>
        </w:tc>
        <w:tc>
          <w:tcPr>
            <w:tcW w:w="300" w:type="dxa"/>
            <w:vAlign w:val="bottom"/>
            <w:tcBorders>
              <w:top w:val="single" w:sz="8" w:color="auto"/>
              <w:bottom w:val="single" w:sz="8" w:color="auto"/>
            </w:tcBorders>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221,567</w:t>
            </w:r>
          </w:p>
        </w:tc>
      </w:tr>
      <w:tr>
        <w:trPr>
          <w:trHeight w:val="21"/>
        </w:trPr>
        <w:tc>
          <w:tcPr>
            <w:tcW w:w="832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367" w:lineRule="exact"/>
        <w:rPr>
          <w:sz w:val="20"/>
          <w:szCs w:val="20"/>
          <w:color w:val="auto"/>
        </w:rPr>
      </w:pPr>
    </w:p>
    <w:tbl>
      <w:tblPr>
        <w:tblLayout w:type="fixed"/>
        <w:tblInd w:w="20" w:type="dxa"/>
        <w:tblCellMar>
          <w:top w:w="0" w:type="dxa"/>
          <w:left w:w="0" w:type="dxa"/>
          <w:bottom w:w="0" w:type="dxa"/>
          <w:right w:w="0" w:type="dxa"/>
        </w:tblCellMar>
      </w:tblPr>
      <w:tr>
        <w:trPr>
          <w:trHeight w:val="190"/>
        </w:trPr>
        <w:tc>
          <w:tcPr>
            <w:tcW w:w="83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600" w:type="dxa"/>
            <w:vAlign w:val="bottom"/>
            <w:gridSpan w:val="4"/>
          </w:tcPr>
          <w:p>
            <w:pPr>
              <w:jc w:val="right"/>
              <w:ind w:right="267"/>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0" w:type="dxa"/>
            <w:vAlign w:val="bottom"/>
          </w:tcPr>
          <w:p>
            <w:pPr>
              <w:spacing w:after="0"/>
              <w:rPr>
                <w:sz w:val="1"/>
                <w:szCs w:val="1"/>
                <w:color w:val="auto"/>
              </w:rPr>
            </w:pPr>
          </w:p>
        </w:tc>
      </w:tr>
      <w:tr>
        <w:trPr>
          <w:trHeight w:val="23"/>
        </w:trPr>
        <w:tc>
          <w:tcPr>
            <w:tcW w:w="83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83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40" w:type="dxa"/>
            <w:vAlign w:val="bottom"/>
          </w:tcPr>
          <w:p>
            <w:pPr>
              <w:jc w:val="right"/>
              <w:ind w:right="448"/>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jc w:val="right"/>
              <w:ind w:right="467"/>
              <w:spacing w:after="0"/>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23"/>
        </w:trPr>
        <w:tc>
          <w:tcPr>
            <w:tcW w:w="838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Supplemental disclosure of cash flow information:</w:t>
            </w: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3"/>
        </w:trPr>
        <w:tc>
          <w:tcPr>
            <w:tcW w:w="838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
        </w:trPr>
        <w:tc>
          <w:tcPr>
            <w:tcW w:w="83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83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Cash paid for interest</w:t>
            </w:r>
          </w:p>
        </w:tc>
        <w:tc>
          <w:tcPr>
            <w:tcW w:w="220" w:type="dxa"/>
            <w:vAlign w:val="bottom"/>
            <w:tcBorders>
              <w:bottom w:val="single" w:sz="8" w:color="CCEEFF"/>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113,604</w:t>
            </w:r>
          </w:p>
        </w:tc>
        <w:tc>
          <w:tcPr>
            <w:tcW w:w="10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111,638</w:t>
            </w:r>
          </w:p>
        </w:tc>
        <w:tc>
          <w:tcPr>
            <w:tcW w:w="0" w:type="dxa"/>
            <w:vAlign w:val="bottom"/>
          </w:tcPr>
          <w:p>
            <w:pPr>
              <w:spacing w:after="0"/>
              <w:rPr>
                <w:sz w:val="1"/>
                <w:szCs w:val="1"/>
                <w:color w:val="auto"/>
              </w:rPr>
            </w:pPr>
          </w:p>
        </w:tc>
      </w:tr>
      <w:tr>
        <w:trPr>
          <w:trHeight w:val="193"/>
        </w:trPr>
        <w:tc>
          <w:tcPr>
            <w:tcW w:w="83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Income taxes paid (refunded)</w:t>
            </w:r>
          </w:p>
        </w:tc>
        <w:tc>
          <w:tcPr>
            <w:tcW w:w="22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(10,179)</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(1,879)</w:t>
            </w:r>
          </w:p>
        </w:tc>
        <w:tc>
          <w:tcPr>
            <w:tcW w:w="0" w:type="dxa"/>
            <w:vAlign w:val="bottom"/>
          </w:tcPr>
          <w:p>
            <w:pPr>
              <w:spacing w:after="0"/>
              <w:rPr>
                <w:sz w:val="1"/>
                <w:szCs w:val="1"/>
                <w:color w:val="auto"/>
              </w:rPr>
            </w:pPr>
          </w:p>
        </w:tc>
      </w:tr>
      <w:tr>
        <w:trPr>
          <w:trHeight w:val="23"/>
        </w:trPr>
        <w:tc>
          <w:tcPr>
            <w:tcW w:w="83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83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Supplemental disclosure of non-cash investing and financing activities:</w:t>
            </w:r>
          </w:p>
        </w:tc>
        <w:tc>
          <w:tcPr>
            <w:tcW w:w="22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spacing w:after="0"/>
              <w:rPr>
                <w:sz w:val="17"/>
                <w:szCs w:val="17"/>
                <w:color w:val="auto"/>
              </w:rPr>
            </w:pPr>
          </w:p>
        </w:tc>
        <w:tc>
          <w:tcPr>
            <w:tcW w:w="104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83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Deconsolidation of assets following foreclosure (refer to Note 4)</w:t>
            </w:r>
          </w:p>
        </w:tc>
        <w:tc>
          <w:tcPr>
            <w:tcW w:w="2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(7,885)</w:t>
            </w:r>
          </w:p>
        </w:tc>
        <w:tc>
          <w:tcPr>
            <w:tcW w:w="100" w:type="dxa"/>
            <w:vAlign w:val="bottom"/>
          </w:tcPr>
          <w:p>
            <w:pPr>
              <w:spacing w:after="0"/>
              <w:rPr>
                <w:sz w:val="16"/>
                <w:szCs w:val="16"/>
                <w:color w:val="auto"/>
              </w:rPr>
            </w:pPr>
          </w:p>
        </w:tc>
        <w:tc>
          <w:tcPr>
            <w:tcW w:w="32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(264,170)</w:t>
            </w:r>
          </w:p>
        </w:tc>
        <w:tc>
          <w:tcPr>
            <w:tcW w:w="0" w:type="dxa"/>
            <w:vAlign w:val="bottom"/>
          </w:tcPr>
          <w:p>
            <w:pPr>
              <w:spacing w:after="0"/>
              <w:rPr>
                <w:sz w:val="1"/>
                <w:szCs w:val="1"/>
                <w:color w:val="auto"/>
              </w:rPr>
            </w:pPr>
          </w:p>
        </w:tc>
      </w:tr>
      <w:tr>
        <w:trPr>
          <w:trHeight w:val="23"/>
        </w:trPr>
        <w:tc>
          <w:tcPr>
            <w:tcW w:w="83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83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Deconsolidation of liabilities following foreclosure (refer to Note 4)</w:t>
            </w:r>
          </w:p>
        </w:tc>
        <w:tc>
          <w:tcPr>
            <w:tcW w:w="22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5,829</w:t>
            </w:r>
          </w:p>
        </w:tc>
        <w:tc>
          <w:tcPr>
            <w:tcW w:w="10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spacing w:after="0"/>
              <w:rPr>
                <w:sz w:val="17"/>
                <w:szCs w:val="17"/>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241,332</w:t>
            </w:r>
          </w:p>
        </w:tc>
        <w:tc>
          <w:tcPr>
            <w:tcW w:w="0" w:type="dxa"/>
            <w:vAlign w:val="bottom"/>
          </w:tcPr>
          <w:p>
            <w:pPr>
              <w:spacing w:after="0"/>
              <w:rPr>
                <w:sz w:val="1"/>
                <w:szCs w:val="1"/>
                <w:color w:val="auto"/>
              </w:rPr>
            </w:pPr>
          </w:p>
        </w:tc>
      </w:tr>
      <w:tr>
        <w:trPr>
          <w:trHeight w:val="193"/>
        </w:trPr>
        <w:tc>
          <w:tcPr>
            <w:tcW w:w="83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Accrual of distribution payable</w:t>
            </w:r>
          </w:p>
        </w:tc>
        <w:tc>
          <w:tcPr>
            <w:tcW w:w="22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21,812</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20,756</w:t>
            </w:r>
          </w:p>
        </w:tc>
        <w:tc>
          <w:tcPr>
            <w:tcW w:w="0" w:type="dxa"/>
            <w:vAlign w:val="bottom"/>
          </w:tcPr>
          <w:p>
            <w:pPr>
              <w:spacing w:after="0"/>
              <w:rPr>
                <w:sz w:val="1"/>
                <w:szCs w:val="1"/>
                <w:color w:val="auto"/>
              </w:rPr>
            </w:pPr>
          </w:p>
        </w:tc>
      </w:tr>
      <w:tr>
        <w:trPr>
          <w:trHeight w:val="23"/>
        </w:trPr>
        <w:tc>
          <w:tcPr>
            <w:tcW w:w="83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83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Assets transferred to held for sale</w:t>
            </w:r>
          </w:p>
        </w:tc>
        <w:tc>
          <w:tcPr>
            <w:tcW w:w="22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32,012</w:t>
            </w:r>
          </w:p>
        </w:tc>
        <w:tc>
          <w:tcPr>
            <w:tcW w:w="10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spacing w:after="0"/>
              <w:rPr>
                <w:sz w:val="17"/>
                <w:szCs w:val="17"/>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34,284</w:t>
            </w:r>
          </w:p>
        </w:tc>
        <w:tc>
          <w:tcPr>
            <w:tcW w:w="0" w:type="dxa"/>
            <w:vAlign w:val="bottom"/>
          </w:tcPr>
          <w:p>
            <w:pPr>
              <w:spacing w:after="0"/>
              <w:rPr>
                <w:sz w:val="1"/>
                <w:szCs w:val="1"/>
                <w:color w:val="auto"/>
              </w:rPr>
            </w:pPr>
          </w:p>
        </w:tc>
      </w:tr>
      <w:tr>
        <w:trPr>
          <w:trHeight w:val="226"/>
        </w:trPr>
        <w:tc>
          <w:tcPr>
            <w:tcW w:w="83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Mortgage notes payable assumed by buyer in connection with sale of real estate</w:t>
            </w:r>
          </w:p>
        </w:tc>
        <w:tc>
          <w:tcPr>
            <w:tcW w:w="2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(200,000)</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99"/>
        </w:trPr>
        <w:tc>
          <w:tcPr>
            <w:tcW w:w="83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Assumption of accounts payable, accrued expenses and other liabilities related to consolidation of VIE and assumption of real estate</w:t>
            </w:r>
          </w:p>
        </w:tc>
        <w:tc>
          <w:tcPr>
            <w:tcW w:w="22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(2,267)</w:t>
            </w:r>
          </w:p>
        </w:tc>
        <w:tc>
          <w:tcPr>
            <w:tcW w:w="10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spacing w:after="0"/>
              <w:rPr>
                <w:sz w:val="17"/>
                <w:szCs w:val="17"/>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(10,633)</w:t>
            </w:r>
          </w:p>
        </w:tc>
        <w:tc>
          <w:tcPr>
            <w:tcW w:w="0" w:type="dxa"/>
            <w:vAlign w:val="bottom"/>
          </w:tcPr>
          <w:p>
            <w:pPr>
              <w:spacing w:after="0"/>
              <w:rPr>
                <w:sz w:val="1"/>
                <w:szCs w:val="1"/>
                <w:color w:val="auto"/>
              </w:rPr>
            </w:pPr>
          </w:p>
        </w:tc>
      </w:tr>
      <w:tr>
        <w:trPr>
          <w:trHeight w:val="193"/>
        </w:trPr>
        <w:tc>
          <w:tcPr>
            <w:tcW w:w="83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Assumption of receivables and other assets related to consolidation of VIE and assumption of real estate</w:t>
            </w:r>
          </w:p>
        </w:tc>
        <w:tc>
          <w:tcPr>
            <w:tcW w:w="22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443</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12,591</w:t>
            </w:r>
          </w:p>
        </w:tc>
        <w:tc>
          <w:tcPr>
            <w:tcW w:w="0" w:type="dxa"/>
            <w:vAlign w:val="bottom"/>
          </w:tcPr>
          <w:p>
            <w:pPr>
              <w:spacing w:after="0"/>
              <w:rPr>
                <w:sz w:val="1"/>
                <w:szCs w:val="1"/>
                <w:color w:val="auto"/>
              </w:rPr>
            </w:pPr>
          </w:p>
        </w:tc>
      </w:tr>
      <w:tr>
        <w:trPr>
          <w:trHeight w:val="23"/>
        </w:trPr>
        <w:tc>
          <w:tcPr>
            <w:tcW w:w="83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3"/>
        </w:trPr>
        <w:tc>
          <w:tcPr>
            <w:tcW w:w="83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Assumption of real estate and consolidation of VIE (refer to Note 4)</w:t>
            </w:r>
          </w:p>
        </w:tc>
        <w:tc>
          <w:tcPr>
            <w:tcW w:w="220" w:type="dxa"/>
            <w:vAlign w:val="bottom"/>
            <w:shd w:val="clear" w:color="auto" w:fill="CCEEFF"/>
          </w:tcPr>
          <w:p>
            <w:pPr>
              <w:spacing w:after="0"/>
              <w:rPr>
                <w:sz w:val="16"/>
                <w:szCs w:val="16"/>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44,791</w:t>
            </w: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226,964</w:t>
            </w:r>
          </w:p>
        </w:tc>
        <w:tc>
          <w:tcPr>
            <w:tcW w:w="0" w:type="dxa"/>
            <w:vAlign w:val="bottom"/>
          </w:tcPr>
          <w:p>
            <w:pPr>
              <w:spacing w:after="0"/>
              <w:rPr>
                <w:sz w:val="1"/>
                <w:szCs w:val="1"/>
                <w:color w:val="auto"/>
              </w:rPr>
            </w:pPr>
          </w:p>
        </w:tc>
      </w:tr>
      <w:tr>
        <w:trPr>
          <w:trHeight w:val="23"/>
        </w:trPr>
        <w:tc>
          <w:tcPr>
            <w:tcW w:w="838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BRIGHTSPIRE CAPITAL,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Business and Organization</w:t>
      </w:r>
    </w:p>
    <w:p>
      <w:pPr>
        <w:spacing w:after="0" w:line="14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BrightSpire Capital, Inc. (the “Company”) is an internally-managed commercial real estate (“CRE”) credit real estate investment trust (“REIT”) focused on originating, acquiring, financing and managing a diversified portfolio consisting primarily of CRE debt investments. CRE debt investments primarily consist of senior mortgage loans, which is the Company’s primary investment strategy. Additionally, the Company may selectively originate mezzanine loans and make preferred equity investments, which may include profit participations. The mezzanine loans and preferred equity investments may be in conjunction with the Company’s origination of corresponding senior mortgages on the same properties.</w:t>
      </w:r>
    </w:p>
    <w:p>
      <w:pPr>
        <w:spacing w:after="0" w:line="11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was organized in the state of Maryland on August 23, 2017 and maintains key offices in New York, New York and Los Angeles, California. The Company elected to be taxed as a REIT under the Internal Revenue Code of 1986, as amended, beginning with the taxable year ended December 31, 2018. The Company conducts all activities and holds substantially all assets and liabilities through the Company’s operating subsidiary, BrightSpire Capital Operating Company, LLC (the “OP”).</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Summary of Significant Accounting Policies</w:t>
      </w:r>
    </w:p>
    <w:p>
      <w:pPr>
        <w:spacing w:after="0" w:line="14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significant accounting policies of the Company are described below. The accounting policies of the Company’s unconsolidated ventures are substantially similar to those of the Company.</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Basis of Presentation</w:t>
      </w:r>
    </w:p>
    <w:p>
      <w:pPr>
        <w:spacing w:after="0" w:line="15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accompanying unaudited interim financial statements have been prepared in accordance with the instructions to Form 10-Q and Article 10 of Regulation S-X. Accordingly, they do not include all information and footnotes required by generally accepted accounting principles in the United States of America (“GAAP”) for complete financial statements. These statements reflect all normal and recurring adjustments which, in the opinion of management, are necessary to present fairly the financial position, results of operations and cash flows of the Company for the interim periods presented. However, the results of operations for the interim period presented are not necessarily indicative of the results that may be expected for the year ending December 31, 2026, or any other future period. These interim financial statements should be read in conjunction with the audited consolidated financial statements and notes thereto included in, or presented as exhibits to, the Company’s Annual Report on Form 10-K for the year ended December 31, 2025, as certain disclosures that would substantially duplicate those contained in the audited consolidated financial statements have not been included in this interim report.</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Use of Estimates</w:t>
      </w:r>
    </w:p>
    <w:p>
      <w:pPr>
        <w:spacing w:after="0" w:line="15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preparation of consolidated financial statements in conformity with GAAP requires management to make estimates and assumptions that affect the amounts reported in the consolidated financial statements and accompanying notes. Actual results could differ from those estimates and assumptions.</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Principles of Consolidation</w:t>
      </w:r>
    </w:p>
    <w:p>
      <w:pPr>
        <w:spacing w:after="0" w:line="14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accompanying consolidated financial statements include the accounts of the Company and its controlled subsidiaries. All intercompany accounts and transactions have been eliminated. The portions of equity, net income and other comprehensive income of consolidated subsidiaries that are not attributable to the parent are presented separately as amounts attributable to noncontrolling interests in the consolidated financial statements.</w:t>
      </w:r>
    </w:p>
    <w:p>
      <w:pPr>
        <w:spacing w:after="0" w:line="10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consolidates entities in which it has a controlling financial interest by first considering if an entity meets the definition of a variable interest entity (“VIE”) for which the Company is deemed to be the primary beneficiary, or if the Company has the power to control an entity through a majority of voting interest or through other arrangements.</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Variable Interest Entities</w:t>
      </w:r>
    </w:p>
    <w:p>
      <w:pPr>
        <w:spacing w:after="0" w:line="14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i w:val="1"/>
          <w:iCs w:val="1"/>
          <w:color w:val="auto"/>
        </w:rPr>
        <w:t>Variable Interest Entities—</w:t>
      </w:r>
      <w:r>
        <w:rPr>
          <w:rFonts w:ascii="Times New Roman" w:cs="Times New Roman" w:eastAsia="Times New Roman" w:hAnsi="Times New Roman"/>
          <w:sz w:val="18"/>
          <w:szCs w:val="18"/>
          <w:color w:val="auto"/>
        </w:rPr>
        <w:t>A VIE is an entity that either (i) lacks sufficient equity to finance its activities without additional subordinated financial support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from other parties; (ii) whose equity holders as a group lack the characteristics of a controlling financial interest; or (iii) is established with non-substantive voting rights. A VIE is consolidated by its primary beneficiary, which is defined as the party who has a controlling financial interest in the VIE through (a) power to direct the activities of the VIE that most significantly affect the VIE’s economic performance, and (b) obligation to absorb losses or right to receive benefits of the VIE that could be significant to the VIE.</w:t>
      </w: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BRIGHTSPIRE CAPITAL,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88"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Voting Interest Entities—</w:t>
      </w:r>
      <w:r>
        <w:rPr>
          <w:rFonts w:ascii="Times New Roman" w:cs="Times New Roman" w:eastAsia="Times New Roman" w:hAnsi="Times New Roman"/>
          <w:sz w:val="18"/>
          <w:szCs w:val="18"/>
          <w:color w:val="auto"/>
        </w:rPr>
        <w:t>Unlike VIEs, voting interest entities have sufficient equity to finance their activities and equity investors exhibit the characteristics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a controlling financial interest through their voting rights. The Company consolidates such entities when it has the power to control these entities through ownership of a majority of the entities’ voting interests or through other arrangements.</w:t>
      </w:r>
    </w:p>
    <w:p>
      <w:pPr>
        <w:spacing w:after="0" w:line="9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At each reporting period, the Company reassesses whether changes in facts and circumstances cause a change in the status of an entity as a VIE or voting interest entity, and/or a change in the Company’s consolidation assessment.</w:t>
      </w:r>
    </w:p>
    <w:p>
      <w:pPr>
        <w:spacing w:after="0" w:line="9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September 30, 2026 and December 31, 2025, the Company has identified certain consolidated and unconsolidated VIEs. Assets of each of the VIEs, other than the OP, may only be used to settle obligations of the respective VIE. Creditors of each of the VIEs have no recourse to the general credit of the Company.</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Consolidated VIEs</w:t>
      </w:r>
    </w:p>
    <w:p>
      <w:pPr>
        <w:spacing w:after="0" w:line="14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Consolidated VIEs include the entities which issue securitization bonds payable, net, the entities holding the Arlington, Texas multifamily property and certain operating real estate properties that have noncontrolling interests. The noncontrolling interests in the operating real estate properties represent a third party joint venture partner with an ownership of 5.0% at September 30, 2026 and December 31, 2025. The noncontrolling interest does not have substantive kick-out nor participating rights. Arlington, Texas is a multifamily loan in which we also hold a preferred equity interest.</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Unconsolidated VIEs</w:t>
      </w:r>
    </w:p>
    <w:p>
      <w:pPr>
        <w:spacing w:after="0" w:line="160"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As of September 30, 2026, the Company held additional interests in 11 unconsolidated VIEs relating to 11 preferred equity investments. The table below shows key characteristics of these unconsolidated VIEs.</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00" w:type="dxa"/>
            <w:vAlign w:val="bottom"/>
          </w:tcPr>
          <w:p>
            <w:pPr>
              <w:spacing w:after="0"/>
              <w:rPr>
                <w:sz w:val="13"/>
                <w:szCs w:val="13"/>
                <w:color w:val="auto"/>
              </w:rPr>
            </w:pPr>
          </w:p>
        </w:tc>
        <w:tc>
          <w:tcPr>
            <w:tcW w:w="170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Fixed Preferred Return</w:t>
            </w:r>
            <w:r>
              <w:rPr>
                <w:rFonts w:ascii="Times New Roman" w:cs="Times New Roman" w:eastAsia="Times New Roman" w:hAnsi="Times New Roman"/>
                <w:sz w:val="9"/>
                <w:szCs w:val="9"/>
                <w:b w:val="1"/>
                <w:bCs w:val="1"/>
                <w:color w:val="auto"/>
              </w:rPr>
              <w:t>(2)</w:t>
            </w:r>
          </w:p>
        </w:tc>
        <w:tc>
          <w:tcPr>
            <w:tcW w:w="80" w:type="dxa"/>
            <w:vAlign w:val="bottom"/>
            <w:vMerge w:val="restart"/>
          </w:tcPr>
          <w:p>
            <w:pPr>
              <w:spacing w:after="0"/>
              <w:rPr>
                <w:sz w:val="13"/>
                <w:szCs w:val="13"/>
                <w:color w:val="auto"/>
              </w:rPr>
            </w:pPr>
          </w:p>
        </w:tc>
        <w:tc>
          <w:tcPr>
            <w:tcW w:w="18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Maximum Exposure to</w:t>
            </w:r>
          </w:p>
        </w:tc>
        <w:tc>
          <w:tcPr>
            <w:tcW w:w="1680" w:type="dxa"/>
            <w:vAlign w:val="bottom"/>
            <w:vMerge w:val="restart"/>
          </w:tcPr>
          <w:p>
            <w:pPr>
              <w:jc w:val="right"/>
              <w:ind w:right="308"/>
              <w:spacing w:after="0"/>
              <w:rPr>
                <w:sz w:val="20"/>
                <w:szCs w:val="20"/>
                <w:color w:val="auto"/>
              </w:rPr>
            </w:pPr>
            <w:r>
              <w:rPr>
                <w:rFonts w:ascii="Times New Roman" w:cs="Times New Roman" w:eastAsia="Times New Roman" w:hAnsi="Times New Roman"/>
                <w:sz w:val="14"/>
                <w:szCs w:val="14"/>
                <w:b w:val="1"/>
                <w:bCs w:val="1"/>
                <w:color w:val="auto"/>
              </w:rPr>
              <w:t>Carrying Value</w:t>
            </w:r>
          </w:p>
        </w:tc>
        <w:tc>
          <w:tcPr>
            <w:tcW w:w="100" w:type="dxa"/>
            <w:vAlign w:val="bottom"/>
            <w:vMerge w:val="restart"/>
          </w:tcPr>
          <w:p>
            <w:pPr>
              <w:spacing w:after="0"/>
              <w:rPr>
                <w:sz w:val="13"/>
                <w:szCs w:val="13"/>
                <w:color w:val="auto"/>
              </w:rPr>
            </w:pPr>
          </w:p>
        </w:tc>
        <w:tc>
          <w:tcPr>
            <w:tcW w:w="1680" w:type="dxa"/>
            <w:vAlign w:val="bottom"/>
            <w:vMerge w:val="restart"/>
          </w:tcPr>
          <w:p>
            <w:pPr>
              <w:ind w:left="420"/>
              <w:spacing w:after="0"/>
              <w:rPr>
                <w:sz w:val="20"/>
                <w:szCs w:val="20"/>
                <w:color w:val="auto"/>
              </w:rPr>
            </w:pPr>
            <w:r>
              <w:rPr>
                <w:rFonts w:ascii="Times New Roman" w:cs="Times New Roman" w:eastAsia="Times New Roman" w:hAnsi="Times New Roman"/>
                <w:sz w:val="14"/>
                <w:szCs w:val="14"/>
                <w:b w:val="1"/>
                <w:bCs w:val="1"/>
                <w:color w:val="auto"/>
              </w:rPr>
              <w:t>Commitment</w:t>
            </w:r>
          </w:p>
        </w:tc>
        <w:tc>
          <w:tcPr>
            <w:tcW w:w="0" w:type="dxa"/>
            <w:vAlign w:val="bottom"/>
          </w:tcPr>
          <w:p>
            <w:pPr>
              <w:spacing w:after="0"/>
              <w:rPr>
                <w:sz w:val="1"/>
                <w:szCs w:val="1"/>
                <w:color w:val="auto"/>
              </w:rPr>
            </w:pPr>
          </w:p>
        </w:tc>
      </w:tr>
      <w:tr>
        <w:trPr>
          <w:trHeight w:val="203"/>
        </w:trPr>
        <w:tc>
          <w:tcPr>
            <w:tcW w:w="4200" w:type="dxa"/>
            <w:vAlign w:val="bottom"/>
            <w:tcBorders>
              <w:bottom w:val="single" w:sz="8" w:color="CCEEFF"/>
            </w:tcBorders>
          </w:tcPr>
          <w:p>
            <w:pPr>
              <w:spacing w:after="0"/>
              <w:rPr>
                <w:sz w:val="17"/>
                <w:szCs w:val="17"/>
                <w:color w:val="auto"/>
              </w:rPr>
            </w:pPr>
          </w:p>
        </w:tc>
        <w:tc>
          <w:tcPr>
            <w:tcW w:w="1700" w:type="dxa"/>
            <w:vAlign w:val="bottom"/>
            <w:tcBorders>
              <w:bottom w:val="single" w:sz="8" w:color="auto"/>
            </w:tcBorders>
            <w:vMerge w:val="continue"/>
          </w:tcPr>
          <w:p>
            <w:pPr>
              <w:spacing w:after="0"/>
              <w:rPr>
                <w:sz w:val="17"/>
                <w:szCs w:val="17"/>
                <w:color w:val="auto"/>
              </w:rPr>
            </w:pPr>
          </w:p>
        </w:tc>
        <w:tc>
          <w:tcPr>
            <w:tcW w:w="80" w:type="dxa"/>
            <w:vAlign w:val="bottom"/>
            <w:tcBorders>
              <w:bottom w:val="single" w:sz="8" w:color="CCEEFF"/>
            </w:tcBorders>
            <w:vMerge w:val="continue"/>
          </w:tcPr>
          <w:p>
            <w:pPr>
              <w:spacing w:after="0"/>
              <w:rPr>
                <w:sz w:val="17"/>
                <w:szCs w:val="17"/>
                <w:color w:val="auto"/>
              </w:rPr>
            </w:pPr>
          </w:p>
        </w:tc>
        <w:tc>
          <w:tcPr>
            <w:tcW w:w="1700" w:type="dxa"/>
            <w:vAlign w:val="bottom"/>
            <w:tcBorders>
              <w:bottom w:val="single" w:sz="8" w:color="auto"/>
            </w:tcBorders>
          </w:tcPr>
          <w:p>
            <w:pPr>
              <w:jc w:val="center"/>
              <w:spacing w:after="0" w:line="202" w:lineRule="exact"/>
              <w:rPr>
                <w:sz w:val="20"/>
                <w:szCs w:val="20"/>
                <w:color w:val="auto"/>
              </w:rPr>
            </w:pPr>
            <w:r>
              <w:rPr>
                <w:rFonts w:ascii="Times New Roman" w:cs="Times New Roman" w:eastAsia="Times New Roman" w:hAnsi="Times New Roman"/>
                <w:sz w:val="14"/>
                <w:szCs w:val="14"/>
                <w:b w:val="1"/>
                <w:bCs w:val="1"/>
                <w:color w:val="auto"/>
                <w:w w:val="92"/>
              </w:rPr>
              <w:t>Loss</w:t>
            </w:r>
            <w:r>
              <w:rPr>
                <w:rFonts w:ascii="Times New Roman" w:cs="Times New Roman" w:eastAsia="Times New Roman" w:hAnsi="Times New Roman"/>
                <w:sz w:val="18"/>
                <w:szCs w:val="18"/>
                <w:b w:val="1"/>
                <w:bCs w:val="1"/>
                <w:color w:val="auto"/>
                <w:w w:val="92"/>
                <w:vertAlign w:val="superscript"/>
              </w:rPr>
              <w:t>(3)</w:t>
            </w:r>
          </w:p>
        </w:tc>
        <w:tc>
          <w:tcPr>
            <w:tcW w:w="100" w:type="dxa"/>
            <w:vAlign w:val="bottom"/>
            <w:tcBorders>
              <w:bottom w:val="single" w:sz="8" w:color="CCEEFF"/>
            </w:tcBorders>
          </w:tcPr>
          <w:p>
            <w:pPr>
              <w:spacing w:after="0"/>
              <w:rPr>
                <w:sz w:val="17"/>
                <w:szCs w:val="17"/>
                <w:color w:val="auto"/>
              </w:rPr>
            </w:pPr>
          </w:p>
        </w:tc>
        <w:tc>
          <w:tcPr>
            <w:tcW w:w="1680" w:type="dxa"/>
            <w:vAlign w:val="bottom"/>
            <w:tcBorders>
              <w:bottom w:val="single" w:sz="8" w:color="auto"/>
            </w:tcBorders>
            <w:vMerge w:val="continue"/>
          </w:tcPr>
          <w:p>
            <w:pPr>
              <w:spacing w:after="0"/>
              <w:rPr>
                <w:sz w:val="17"/>
                <w:szCs w:val="17"/>
                <w:color w:val="auto"/>
              </w:rPr>
            </w:pPr>
          </w:p>
        </w:tc>
        <w:tc>
          <w:tcPr>
            <w:tcW w:w="100" w:type="dxa"/>
            <w:vAlign w:val="bottom"/>
            <w:tcBorders>
              <w:bottom w:val="single" w:sz="8" w:color="CCEEFF"/>
            </w:tcBorders>
            <w:vMerge w:val="continue"/>
          </w:tcPr>
          <w:p>
            <w:pPr>
              <w:spacing w:after="0"/>
              <w:rPr>
                <w:sz w:val="17"/>
                <w:szCs w:val="17"/>
                <w:color w:val="auto"/>
              </w:rPr>
            </w:pPr>
          </w:p>
        </w:tc>
        <w:tc>
          <w:tcPr>
            <w:tcW w:w="168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4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Preferred Equity Investments 6 pack</w:t>
            </w:r>
            <w:r>
              <w:rPr>
                <w:rFonts w:ascii="Times New Roman" w:cs="Times New Roman" w:eastAsia="Times New Roman" w:hAnsi="Times New Roman"/>
                <w:sz w:val="9"/>
                <w:szCs w:val="9"/>
                <w:color w:val="auto"/>
              </w:rPr>
              <w:t>(1)</w:t>
            </w:r>
          </w:p>
        </w:tc>
        <w:tc>
          <w:tcPr>
            <w:tcW w:w="1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w:t>
            </w:r>
          </w:p>
        </w:tc>
        <w:tc>
          <w:tcPr>
            <w:tcW w:w="80" w:type="dxa"/>
            <w:vAlign w:val="bottom"/>
            <w:tcBorders>
              <w:bottom w:val="single" w:sz="8" w:color="CCEEFF"/>
            </w:tcBorders>
            <w:shd w:val="clear" w:color="auto" w:fill="CCEEFF"/>
          </w:tcPr>
          <w:p>
            <w:pPr>
              <w:spacing w:after="0"/>
              <w:rPr>
                <w:sz w:val="16"/>
                <w:szCs w:val="16"/>
                <w:color w:val="auto"/>
              </w:rPr>
            </w:pPr>
          </w:p>
        </w:tc>
        <w:tc>
          <w:tcPr>
            <w:tcW w:w="1800" w:type="dxa"/>
            <w:vAlign w:val="bottom"/>
            <w:tcBorders>
              <w:bottom w:val="single" w:sz="8" w:color="CCEEFF"/>
            </w:tcBorders>
            <w:gridSpan w:val="2"/>
            <w:shd w:val="clear" w:color="auto" w:fill="CCEEFF"/>
          </w:tcPr>
          <w:p>
            <w:pPr>
              <w:ind w:left="840"/>
              <w:spacing w:after="0"/>
              <w:rPr>
                <w:sz w:val="20"/>
                <w:szCs w:val="20"/>
                <w:color w:val="auto"/>
              </w:rPr>
            </w:pPr>
            <w:r>
              <w:rPr>
                <w:rFonts w:ascii="Times New Roman" w:cs="Times New Roman" w:eastAsia="Times New Roman" w:hAnsi="Times New Roman"/>
                <w:sz w:val="14"/>
                <w:szCs w:val="14"/>
                <w:color w:val="auto"/>
              </w:rPr>
              <w:t>$173.5 million</w:t>
            </w:r>
          </w:p>
        </w:tc>
        <w:tc>
          <w:tcPr>
            <w:tcW w:w="17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$12.8 million</w:t>
            </w:r>
          </w:p>
        </w:tc>
        <w:tc>
          <w:tcPr>
            <w:tcW w:w="1680" w:type="dxa"/>
            <w:vAlign w:val="bottom"/>
            <w:tcBorders>
              <w:bottom w:val="single" w:sz="8" w:color="CCEEFF"/>
            </w:tcBorders>
            <w:shd w:val="clear" w:color="auto" w:fill="CCEEFF"/>
          </w:tcPr>
          <w:p>
            <w:pPr>
              <w:ind w:left="880"/>
              <w:spacing w:after="0"/>
              <w:rPr>
                <w:sz w:val="20"/>
                <w:szCs w:val="20"/>
                <w:color w:val="auto"/>
              </w:rPr>
            </w:pPr>
            <w:r>
              <w:rPr>
                <w:rFonts w:ascii="Times New Roman" w:cs="Times New Roman" w:eastAsia="Times New Roman" w:hAnsi="Times New Roman"/>
                <w:sz w:val="14"/>
                <w:szCs w:val="14"/>
                <w:color w:val="auto"/>
              </w:rPr>
              <w:t>$15.1 million</w:t>
            </w:r>
          </w:p>
        </w:tc>
        <w:tc>
          <w:tcPr>
            <w:tcW w:w="0" w:type="dxa"/>
            <w:vAlign w:val="bottom"/>
          </w:tcPr>
          <w:p>
            <w:pPr>
              <w:spacing w:after="0"/>
              <w:rPr>
                <w:sz w:val="1"/>
                <w:szCs w:val="1"/>
                <w:color w:val="auto"/>
              </w:rPr>
            </w:pPr>
          </w:p>
        </w:tc>
      </w:tr>
      <w:tr>
        <w:trPr>
          <w:trHeight w:val="193"/>
        </w:trPr>
        <w:tc>
          <w:tcPr>
            <w:tcW w:w="42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Preferred Equity Investments 7-11</w:t>
            </w:r>
          </w:p>
        </w:tc>
        <w:tc>
          <w:tcPr>
            <w:tcW w:w="1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10-20%</w:t>
            </w:r>
          </w:p>
        </w:tc>
        <w:tc>
          <w:tcPr>
            <w:tcW w:w="80" w:type="dxa"/>
            <w:vAlign w:val="bottom"/>
          </w:tcPr>
          <w:p>
            <w:pPr>
              <w:spacing w:after="0"/>
              <w:rPr>
                <w:sz w:val="16"/>
                <w:szCs w:val="16"/>
                <w:color w:val="auto"/>
              </w:rPr>
            </w:pPr>
          </w:p>
        </w:tc>
        <w:tc>
          <w:tcPr>
            <w:tcW w:w="1800" w:type="dxa"/>
            <w:vAlign w:val="bottom"/>
            <w:gridSpan w:val="2"/>
          </w:tcPr>
          <w:p>
            <w:pPr>
              <w:ind w:left="840"/>
              <w:spacing w:after="0"/>
              <w:rPr>
                <w:sz w:val="20"/>
                <w:szCs w:val="20"/>
                <w:color w:val="auto"/>
              </w:rPr>
            </w:pPr>
            <w:r>
              <w:rPr>
                <w:rFonts w:ascii="Times New Roman" w:cs="Times New Roman" w:eastAsia="Times New Roman" w:hAnsi="Times New Roman"/>
                <w:sz w:val="14"/>
                <w:szCs w:val="14"/>
                <w:color w:val="auto"/>
              </w:rPr>
              <w:t>$169.8 million</w:t>
            </w:r>
          </w:p>
        </w:tc>
        <w:tc>
          <w:tcPr>
            <w:tcW w:w="17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$6.7 million</w:t>
            </w:r>
          </w:p>
        </w:tc>
        <w:tc>
          <w:tcPr>
            <w:tcW w:w="1680" w:type="dxa"/>
            <w:vAlign w:val="bottom"/>
          </w:tcPr>
          <w:p>
            <w:pPr>
              <w:ind w:left="880"/>
              <w:spacing w:after="0"/>
              <w:rPr>
                <w:sz w:val="20"/>
                <w:szCs w:val="20"/>
                <w:color w:val="auto"/>
              </w:rPr>
            </w:pPr>
            <w:r>
              <w:rPr>
                <w:rFonts w:ascii="Times New Roman" w:cs="Times New Roman" w:eastAsia="Times New Roman" w:hAnsi="Times New Roman"/>
                <w:sz w:val="14"/>
                <w:szCs w:val="14"/>
                <w:color w:val="auto"/>
              </w:rPr>
              <w:t>$12.5 million</w:t>
            </w:r>
          </w:p>
        </w:tc>
        <w:tc>
          <w:tcPr>
            <w:tcW w:w="0" w:type="dxa"/>
            <w:vAlign w:val="bottom"/>
          </w:tcPr>
          <w:p>
            <w:pPr>
              <w:spacing w:after="0"/>
              <w:rPr>
                <w:sz w:val="1"/>
                <w:szCs w:val="1"/>
                <w:color w:val="auto"/>
              </w:rPr>
            </w:pPr>
          </w:p>
        </w:tc>
      </w:tr>
    </w:tbl>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____________________________________</w:t>
      </w:r>
    </w:p>
    <w:p>
      <w:pPr>
        <w:spacing w:after="0" w:line="27" w:lineRule="exact"/>
        <w:rPr>
          <w:sz w:val="20"/>
          <w:szCs w:val="20"/>
          <w:color w:val="auto"/>
        </w:rPr>
      </w:pPr>
    </w:p>
    <w:p>
      <w:pPr>
        <w:jc w:val="both"/>
        <w:ind w:left="340" w:hanging="332"/>
        <w:spacing w:after="0" w:line="254" w:lineRule="auto"/>
        <w:tabs>
          <w:tab w:leader="none" w:pos="392"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preferred equity investments were funded in relation to six senior loans that were originated prior to the second quarter of 2025, all with the same sponsor. The preferred equity investments are cross-collateralized. If there is a shortfall upon resolution of any of the six preferred equity investments, the Company will receive proceeds from the resolution of the other six remaining preferred equity investments.</w:t>
      </w:r>
    </w:p>
    <w:p>
      <w:pPr>
        <w:spacing w:after="0" w:line="1" w:lineRule="exact"/>
        <w:rPr>
          <w:rFonts w:ascii="Times New Roman" w:cs="Times New Roman" w:eastAsia="Times New Roman" w:hAnsi="Times New Roman"/>
          <w:sz w:val="14"/>
          <w:szCs w:val="14"/>
          <w:color w:val="auto"/>
        </w:rPr>
      </w:pPr>
    </w:p>
    <w:p>
      <w:pPr>
        <w:ind w:left="320" w:hanging="312"/>
        <w:spacing w:after="0"/>
        <w:tabs>
          <w:tab w:leader="none" w:pos="32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Company does not hold any upside above the Fixed Preferred Returns.</w:t>
      </w:r>
    </w:p>
    <w:p>
      <w:pPr>
        <w:spacing w:after="0" w:line="14" w:lineRule="exact"/>
        <w:rPr>
          <w:rFonts w:ascii="Times New Roman" w:cs="Times New Roman" w:eastAsia="Times New Roman" w:hAnsi="Times New Roman"/>
          <w:sz w:val="14"/>
          <w:szCs w:val="14"/>
          <w:color w:val="auto"/>
        </w:rPr>
      </w:pPr>
    </w:p>
    <w:p>
      <w:pPr>
        <w:ind w:left="320" w:hanging="312"/>
        <w:spacing w:after="0"/>
        <w:tabs>
          <w:tab w:leader="none" w:pos="32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Maximum Exposure to Loss represents the unpaid principal balances of the senior loans and preferred equity investments at September 30, 2026.</w:t>
      </w:r>
    </w:p>
    <w:p>
      <w:pPr>
        <w:spacing w:after="0" w:line="14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has determined that it is not the primary beneficiary of the VIEs noted in the table above as it does not have power over decisions that most significantly affect the VIEs and has not consolidated these VIEs. The Company accounts for these investments as debt investments due to the mandatory redemption features within the preferred equity investment agreements. The mandatory redemption date is the same as the maturity date for the corresponding senior loans. The investments are included in loans and preferred equity held for investment, net on the Company’s consolidated balance sheets.</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Noncontrolling Interests</w:t>
      </w:r>
    </w:p>
    <w:p>
      <w:pPr>
        <w:spacing w:after="0" w:line="160"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Noncontrolling interests in investment entities represents interests in consolidated investment entities held by third party joint venture partners, including the operations of the Arlington, Texas and Mesa, Arizona multifamily properties collateralizing the senior loans. As of September 30, 2026, the Company no longer holds the Mesa, Arizona multifamily property.</w:t>
      </w:r>
    </w:p>
    <w:p>
      <w:pPr>
        <w:spacing w:after="0" w:line="9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Allocation of net income or loss is generally based upon relative ownership interests held by equity owners in each investment entity or based upon contractual arrangements that may provide for disproportionate allocation of economic returns among equity interests, including using a hypothetical liquidation at book value (“HLBV”) basis, where applicable and substantive. HLBV uses a balance sheet approach, which measures each party’s capital account at the end of a period, assuming that the subsidiary was liquidated or sold at book value. Each party’s share of the subsidiary’s earnings or loss is calculated by measuring the change in the party’s capital account from the beginning of the period in question to the end of period, adjusting for effects of distributions and new investments.</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Fair Value Measurement</w:t>
      </w:r>
    </w:p>
    <w:p>
      <w:pPr>
        <w:spacing w:after="0" w:line="15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Fair value is based on an exit price, defined as the price that would be received to sell an asset or paid to transfer a liability in an orderly transaction between market participants. Where appropriate, the Company makes adjustments to estimated fair values to appropriately reflect counterparty credit risk as well as the Company’s own creditworthiness.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3" w:name="page14"/>
    <w:bookmarkEnd w:id="1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BRIGHTSPIRE CAPITAL,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9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estimated fair value of financial assets and financial liabilities are categorized into a three-tier hierarchy, prioritized based on the level of transparency in inputs used in the valuation techniques, as follows:</w:t>
      </w:r>
    </w:p>
    <w:p>
      <w:pPr>
        <w:spacing w:after="0" w:line="7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i w:val="1"/>
          <w:iCs w:val="1"/>
          <w:color w:val="auto"/>
        </w:rPr>
        <w:t>Level 1—</w:t>
      </w:r>
      <w:r>
        <w:rPr>
          <w:rFonts w:ascii="Times New Roman" w:cs="Times New Roman" w:eastAsia="Times New Roman" w:hAnsi="Times New Roman"/>
          <w:sz w:val="18"/>
          <w:szCs w:val="18"/>
          <w:color w:val="auto"/>
        </w:rPr>
        <w:t>Quoted prices (unadjusted) in active markets for identical assets or liabilities.</w:t>
      </w:r>
    </w:p>
    <w:p>
      <w:pPr>
        <w:spacing w:after="0" w:line="158" w:lineRule="exact"/>
        <w:rPr>
          <w:sz w:val="20"/>
          <w:szCs w:val="20"/>
          <w:color w:val="auto"/>
        </w:rPr>
      </w:pPr>
    </w:p>
    <w:p>
      <w:pPr>
        <w:jc w:val="both"/>
        <w:ind w:firstLine="405"/>
        <w:spacing w:after="0" w:line="267" w:lineRule="auto"/>
        <w:rPr>
          <w:sz w:val="20"/>
          <w:szCs w:val="20"/>
          <w:color w:val="auto"/>
        </w:rPr>
      </w:pPr>
      <w:r>
        <w:rPr>
          <w:rFonts w:ascii="Times New Roman" w:cs="Times New Roman" w:eastAsia="Times New Roman" w:hAnsi="Times New Roman"/>
          <w:sz w:val="18"/>
          <w:szCs w:val="18"/>
          <w:i w:val="1"/>
          <w:iCs w:val="1"/>
          <w:color w:val="auto"/>
        </w:rPr>
        <w:t>Level 2—</w:t>
      </w:r>
      <w:r>
        <w:rPr>
          <w:rFonts w:ascii="Times New Roman" w:cs="Times New Roman" w:eastAsia="Times New Roman" w:hAnsi="Times New Roman"/>
          <w:sz w:val="18"/>
          <w:szCs w:val="18"/>
          <w:color w:val="auto"/>
        </w:rPr>
        <w:t>Observable inputs other than Level 1 prices, such as quoted prices for similar assets or liabilities, quoted prices in non-active markets,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valuation techniques utilizing inputs that are derived principally from or corroborated by observable data directly or indirectly for substantially the full term of the financial instrument.</w:t>
      </w:r>
    </w:p>
    <w:p>
      <w:pPr>
        <w:spacing w:after="0" w:line="106" w:lineRule="exact"/>
        <w:rPr>
          <w:sz w:val="20"/>
          <w:szCs w:val="20"/>
          <w:color w:val="auto"/>
        </w:rPr>
      </w:pPr>
    </w:p>
    <w:p>
      <w:pPr>
        <w:jc w:val="both"/>
        <w:ind w:firstLine="405"/>
        <w:spacing w:after="0" w:line="284" w:lineRule="auto"/>
        <w:rPr>
          <w:sz w:val="20"/>
          <w:szCs w:val="20"/>
          <w:color w:val="auto"/>
        </w:rPr>
      </w:pPr>
      <w:r>
        <w:rPr>
          <w:rFonts w:ascii="Times New Roman" w:cs="Times New Roman" w:eastAsia="Times New Roman" w:hAnsi="Times New Roman"/>
          <w:sz w:val="18"/>
          <w:szCs w:val="18"/>
          <w:i w:val="1"/>
          <w:iCs w:val="1"/>
          <w:color w:val="auto"/>
        </w:rPr>
        <w:t>Level 3—</w:t>
      </w:r>
      <w:r>
        <w:rPr>
          <w:rFonts w:ascii="Times New Roman" w:cs="Times New Roman" w:eastAsia="Times New Roman" w:hAnsi="Times New Roman"/>
          <w:sz w:val="18"/>
          <w:szCs w:val="18"/>
          <w:color w:val="auto"/>
        </w:rPr>
        <w:t>At least one assumption or input is unobservable, and it is significant to the fair value measurement, requiring significant management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judgment or estimate.</w:t>
      </w:r>
    </w:p>
    <w:p>
      <w:pPr>
        <w:spacing w:after="0" w:line="7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Where the inputs used to measure the fair value of a financial instrument fall into different levels of the fair value hierarchy, the financial instrument is categorized within the hierarchy based on the lowest level of input that is significant to its fair value measurement.</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Fair Value Option</w:t>
      </w:r>
    </w:p>
    <w:p>
      <w:pPr>
        <w:spacing w:after="0" w:line="15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fair value option provides an option to elect fair value as an alternative measurement for selected financial instruments. Gains and losses on items for which the fair value option has been elected are reported in earnings. The fair value option may be elected only upon the occurrence of certain specified events, including when the Company enters into an eligible firm commitment, at initial recognition of the financial instrument, as well as upon a business combination or consolidation of a subsidiary. The election is applied on an instrument-by-instrument basis and is irrevocable unless a new election event occurs.</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Business Combinations</w:t>
      </w:r>
    </w:p>
    <w:p>
      <w:pPr>
        <w:spacing w:after="0" w:line="15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i w:val="1"/>
          <w:iCs w:val="1"/>
          <w:color w:val="auto"/>
        </w:rPr>
        <w:t>Definition of a Business—</w:t>
      </w:r>
      <w:r>
        <w:rPr>
          <w:rFonts w:ascii="Times New Roman" w:cs="Times New Roman" w:eastAsia="Times New Roman" w:hAnsi="Times New Roman"/>
          <w:sz w:val="18"/>
          <w:szCs w:val="18"/>
          <w:color w:val="auto"/>
        </w:rPr>
        <w:t>The Company evaluates each purchase transaction to determine whether the acquired assets meet the definition of a business. If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substantially all of the fair value of gross assets acquired is concentrated in a single identifiable asset or a group of similar identifiable assets, then the set of transferred assets and activities is not a business. If not, for an acquisition to be considered a business, it would have to include an input and a substantive process that together significantly contribute to the ability to create outputs (i.e., there is a continuation of revenue before and after the transaction). A substantive process is not ancillary or minor, cannot be replaced without significant costs, effort or delay or is otherwise considered unique or scarce. To qualify as a business without outputs, the acquired assets would require an organized workforce with the necessary skills, knowledge and experience that performs a substantive process.</w:t>
      </w:r>
    </w:p>
    <w:p>
      <w:pPr>
        <w:spacing w:after="0" w:line="11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Asset Acquisitions—</w:t>
      </w:r>
      <w:r>
        <w:rPr>
          <w:rFonts w:ascii="Times New Roman" w:cs="Times New Roman" w:eastAsia="Times New Roman" w:hAnsi="Times New Roman"/>
          <w:sz w:val="18"/>
          <w:szCs w:val="18"/>
          <w:color w:val="auto"/>
        </w:rPr>
        <w:t>For acquisitions that are not deemed to be businesses, the assets acquired are recognized based on their cost to the Company as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acquirer and no gain or loss is recognized. The cost of assets acquired in a group is allocated to individual assets within the group based on their relative fair values and does not give rise to goodwill. Transaction costs related to the acquisition of assets are included in the cost basis of the assets acquired. Such valuations require management to make significant estimates and assumptions.</w:t>
      </w:r>
    </w:p>
    <w:p>
      <w:pPr>
        <w:spacing w:after="0" w:line="99"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i w:val="1"/>
          <w:iCs w:val="1"/>
          <w:color w:val="auto"/>
        </w:rPr>
        <w:t>Business Combinations—</w:t>
      </w:r>
      <w:r>
        <w:rPr>
          <w:rFonts w:ascii="Times New Roman" w:cs="Times New Roman" w:eastAsia="Times New Roman" w:hAnsi="Times New Roman"/>
          <w:sz w:val="18"/>
          <w:szCs w:val="18"/>
          <w:color w:val="auto"/>
        </w:rPr>
        <w:t>The Company accounts for acquisitions that qualify as business combinations by applying the acquisition method. Transaction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costs related to the acquisition of a business are expensed as incurred and excluded from the fair value of consideration transferred. The identifiable assets acquired, liabilities assumed and noncontrolling interests in an acquired entity are recognized and measured at their estimated fair values. The excess of the fair value of consideration transferred over the fair values of identifiable assets acquired, liabilities assumed and noncontrolling interests in an acquired entity, net of fair value of any previously held interest in the acquired entity, is recorded as goodwill. Such valuations require management to make significant estimates and assumptions.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Cash and Cash Equivalents</w:t>
      </w:r>
    </w:p>
    <w:p>
      <w:pPr>
        <w:spacing w:after="0" w:line="15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Short-term, highly liquid investments with original maturities of three months or less at the time of acquisition are considered to be cash equivalents. The Company’s cash is held with major financial institutions. Certain cash account balances exceed Federal Deposit Insurance Corporation insurance limits of $250,000 per account and as a result, there is a concentration of credit risk related to amounts in excess of the insurance limits. The Company monitors the financial stability of these financial institutions and believes it is not exposed to any significant credit risk in cash and cash equivalents.</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Restricted Cash</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Restricted cash consists primarily of borrower escrow deposits, tenant escrow deposits and real estate capital expenditure reserves.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BRIGHTSPIRE CAPITAL,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Loans and Preferred Equity Held for Investment</w:t>
      </w:r>
    </w:p>
    <w:p>
      <w:pPr>
        <w:spacing w:after="0" w:line="14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originates and purchases loans and preferred equity held for investment. The accounting framework for loans and preferred equity held for investment depends on the Company’s strategy whether to hold or sell the loan and preferred equity or whether the loan was credit-impaired at the time of acquisition.</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Loans and Preferred Equity Held for Investment</w:t>
      </w:r>
    </w:p>
    <w:p>
      <w:pPr>
        <w:spacing w:after="0" w:line="16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Loans and preferred equity that the Company has the intent and ability to hold for the foreseeable future are classified as held for investment. Originated loans and preferred equity are recorded at amortized cost, or outstanding unpaid principal balance plus exit fees less net deferred loan fees. Net deferred loan fees include unamortized origination and other fees charged to the borrower less direct incremental loan origination costs incurred by the Company. Purchased loans and preferred equity are recorded at amortized cost, or unpaid principal balance plus purchase premium or less unamortized discount. Costs to purchase loans and preferred equity are expensed as incurred. Preferred equity investments included in loans and preferred equity held for investment, net have fixed interest rates and mandatory redemption dates.</w:t>
      </w:r>
    </w:p>
    <w:p>
      <w:pPr>
        <w:spacing w:after="0" w:line="10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i w:val="1"/>
          <w:iCs w:val="1"/>
          <w:color w:val="auto"/>
        </w:rPr>
        <w:t>Interest Income—</w:t>
      </w:r>
      <w:r>
        <w:rPr>
          <w:rFonts w:ascii="Times New Roman" w:cs="Times New Roman" w:eastAsia="Times New Roman" w:hAnsi="Times New Roman"/>
          <w:sz w:val="18"/>
          <w:szCs w:val="18"/>
          <w:color w:val="auto"/>
        </w:rPr>
        <w:t>Interest income is recognized based upon contractual interest rate and unpaid principal balance of the loans and preferred equity. Net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deferred loan fees on originated loans are deferred and amortized as adjustments to interest income over the expected life of the loans and preferred equity using the effective yield method. Premium or discount on purchased loans and preferred equity are amortized as adjustments to interest income over the expected life of the loans and preferred equity using the effective yield method. When a loan or preferred equity is prepaid, prepayment fees and any excess of proceeds over the carrying amount of the loan and preferred equity is recognized as additional interest income.</w:t>
      </w:r>
    </w:p>
    <w:p>
      <w:pPr>
        <w:spacing w:after="0" w:line="11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has debt investments in its portfolio that contain a payment-in-kind (“PIK”) provision. Contractual PIK interest, which represents contractually deferred interest added to the loan or preferred equity balance that is due at the end of the loan term, is generally recorded on an accrual basis to the extent such amounts are expected to be collected. The Company will generally cease accruing PIK interest if there is insufficient value to support the accrual or management does not expect the borrower to be able to pay all principal and interest due.</w:t>
      </w:r>
    </w:p>
    <w:p>
      <w:pPr>
        <w:spacing w:after="0" w:line="11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i w:val="1"/>
          <w:iCs w:val="1"/>
          <w:color w:val="auto"/>
        </w:rPr>
        <w:t>Nonaccrual—</w:t>
      </w:r>
      <w:r>
        <w:rPr>
          <w:rFonts w:ascii="Times New Roman" w:cs="Times New Roman" w:eastAsia="Times New Roman" w:hAnsi="Times New Roman"/>
          <w:sz w:val="18"/>
          <w:szCs w:val="18"/>
          <w:color w:val="auto"/>
        </w:rPr>
        <w:t>Accrual of interest income is suspended on nonaccrual loans and preferred equity. Loans and preferred equity that are past due 90 days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more as to principal or interest, or where reasonable doubt exists as to timely collection, are generally considered nonperforming and placed on nonaccrual status. Interest receivable is reversed against interest income when loans and preferred equity are placed on nonaccrual status. Interest collected is recognized on a cash basis by crediting income when received; or if ultimate collectability of loan or preferred equity principal is uncertain, interest collected is recognized using a cost recovery method by applying interest collected as a reduction to loan and preferred equity carrying value. Loans and preferred equity may be restored to accrual status when all principal and interest are current and full repayment of the remaining contractual principal and interest are probable.</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Loans Held for Sale</w:t>
      </w:r>
    </w:p>
    <w:p>
      <w:pPr>
        <w:spacing w:after="0" w:line="16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Loans that the Company intends to sell or liquidate in the foreseeable future are classified as held for sale. Loans held for sale are carried at the lower of amortized cost or fair value less disposal cost, with valuation changes recognized as impairment loss. Loans held for sale are not subject to Current Expected Credit Losses (“CECL”) reserves. Net deferred loan origination fees and loan purchase premiums or discounts are deferred and capitalized as part of the carrying value of the held for sale loan until the loan is sold, and therefore are included in the periodic valuation adjustments based on lower of cost or fair value less disposal cost. At September 30, 2026 and December 31, 2025, there were no loans held for sale.</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Operating Real Estate</w:t>
      </w:r>
    </w:p>
    <w:p>
      <w:pPr>
        <w:spacing w:after="0" w:line="14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i w:val="1"/>
          <w:iCs w:val="1"/>
          <w:color w:val="auto"/>
        </w:rPr>
        <w:t>Real Estate Acquisitions—</w:t>
      </w:r>
      <w:r>
        <w:rPr>
          <w:rFonts w:ascii="Times New Roman" w:cs="Times New Roman" w:eastAsia="Times New Roman" w:hAnsi="Times New Roman"/>
          <w:sz w:val="18"/>
          <w:szCs w:val="18"/>
          <w:color w:val="auto"/>
        </w:rPr>
        <w:t>Real estate acquired in acquisitions that are deemed to be business combinations is recorded at the fair values of the acquired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components at the time of acquisition, allocated among land, buildings, improvements, equipment and lease-related tangible and identifiable intangible assets and liabilities, including forgone leasing costs, in-place lease values and above- or below-market lease values and assumed debt, if any. Real estate acquired in acquisitions that are deemed to be asset acquisitions is recorded at the total value of consideration transferred, including transaction costs, and allocated to the acquired components based upon relative fair value. The estimated fair value of acquired land is derived from recent comparable sales of land and listings within the same local region based on available market data. The estimated fair value of acquired buildings and building improvements is derived from comparable sales, discounted cash flow analysis using market-based assumptions, or replacement cost, as appropriate. The fair value of site and tenant improvements is estimated based upon current market replacement costs and other relevant market rate information.</w:t>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BRIGHTSPIRE CAPITAL,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Real Estate Held for Investment</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Real estate held for investment is carried at cost less accumulated depreciation.</w:t>
      </w:r>
    </w:p>
    <w:p>
      <w:pPr>
        <w:spacing w:after="0" w:line="156" w:lineRule="exact"/>
        <w:rPr>
          <w:sz w:val="20"/>
          <w:szCs w:val="20"/>
          <w:color w:val="auto"/>
        </w:rPr>
      </w:pPr>
    </w:p>
    <w:p>
      <w:pPr>
        <w:jc w:val="both"/>
        <w:ind w:right="20"/>
        <w:spacing w:after="0" w:line="284" w:lineRule="auto"/>
        <w:rPr>
          <w:sz w:val="20"/>
          <w:szCs w:val="20"/>
          <w:color w:val="auto"/>
        </w:rPr>
      </w:pPr>
      <w:r>
        <w:rPr>
          <w:rFonts w:ascii="Times New Roman" w:cs="Times New Roman" w:eastAsia="Times New Roman" w:hAnsi="Times New Roman"/>
          <w:sz w:val="18"/>
          <w:szCs w:val="18"/>
          <w:i w:val="1"/>
          <w:iCs w:val="1"/>
          <w:color w:val="auto"/>
        </w:rPr>
        <w:t>Costs Capitalized or Expensed—</w:t>
      </w:r>
      <w:r>
        <w:rPr>
          <w:rFonts w:ascii="Times New Roman" w:cs="Times New Roman" w:eastAsia="Times New Roman" w:hAnsi="Times New Roman"/>
          <w:sz w:val="18"/>
          <w:szCs w:val="18"/>
          <w:color w:val="auto"/>
        </w:rPr>
        <w:t>Expenditures for ordinary repairs and maintenance are expensed as incurred, while expenditures for significant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renovations that improve or extend the useful life of the asset are capitalized and depreciated over their estimated useful lives.</w:t>
      </w:r>
    </w:p>
    <w:p>
      <w:pPr>
        <w:spacing w:after="0" w:line="91"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Depreciation—</w:t>
      </w:r>
      <w:r>
        <w:rPr>
          <w:rFonts w:ascii="Times New Roman" w:cs="Times New Roman" w:eastAsia="Times New Roman" w:hAnsi="Times New Roman"/>
          <w:sz w:val="18"/>
          <w:szCs w:val="18"/>
          <w:color w:val="auto"/>
        </w:rPr>
        <w:t>Real estate held for investment, other than land, is depreciated on a straight-line basis over the estimated useful lives of the assets, 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follows:</w:t>
      </w:r>
    </w:p>
    <w:p>
      <w:pPr>
        <w:spacing w:after="0" w:line="8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30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Real Estate Assets</w:t>
            </w:r>
          </w:p>
        </w:tc>
        <w:tc>
          <w:tcPr>
            <w:tcW w:w="100" w:type="dxa"/>
            <w:vAlign w:val="bottom"/>
            <w:tcBorders>
              <w:bottom w:val="single" w:sz="8" w:color="CCEEFF"/>
            </w:tcBorders>
          </w:tcPr>
          <w:p>
            <w:pPr>
              <w:spacing w:after="0"/>
              <w:rPr>
                <w:sz w:val="18"/>
                <w:szCs w:val="18"/>
                <w:color w:val="auto"/>
              </w:rPr>
            </w:pPr>
          </w:p>
        </w:tc>
        <w:tc>
          <w:tcPr>
            <w:tcW w:w="81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Term</w:t>
            </w:r>
          </w:p>
        </w:tc>
      </w:tr>
      <w:tr>
        <w:trPr>
          <w:trHeight w:val="226"/>
        </w:trPr>
        <w:tc>
          <w:tcPr>
            <w:tcW w:w="31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Building (fee interest)</w:t>
            </w:r>
          </w:p>
        </w:tc>
        <w:tc>
          <w:tcPr>
            <w:tcW w:w="8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28 to 47 years</w:t>
            </w:r>
          </w:p>
        </w:tc>
      </w:tr>
      <w:tr>
        <w:trPr>
          <w:trHeight w:val="226"/>
        </w:trPr>
        <w:tc>
          <w:tcPr>
            <w:tcW w:w="31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Building leasehold interests</w:t>
            </w:r>
          </w:p>
        </w:tc>
        <w:tc>
          <w:tcPr>
            <w:tcW w:w="81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Lesser of remaining term of the lease or remaining life of the building</w:t>
            </w:r>
          </w:p>
        </w:tc>
      </w:tr>
      <w:tr>
        <w:trPr>
          <w:trHeight w:val="233"/>
        </w:trPr>
        <w:tc>
          <w:tcPr>
            <w:tcW w:w="31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Building improvements</w:t>
            </w:r>
          </w:p>
        </w:tc>
        <w:tc>
          <w:tcPr>
            <w:tcW w:w="8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Lesser of the useful life or remaining life of the building</w:t>
            </w:r>
          </w:p>
        </w:tc>
      </w:tr>
      <w:tr>
        <w:trPr>
          <w:trHeight w:val="227"/>
        </w:trPr>
        <w:tc>
          <w:tcPr>
            <w:tcW w:w="31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Land improvements</w:t>
            </w:r>
          </w:p>
        </w:tc>
        <w:tc>
          <w:tcPr>
            <w:tcW w:w="81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1 to 15 years</w:t>
            </w:r>
          </w:p>
        </w:tc>
      </w:tr>
      <w:tr>
        <w:trPr>
          <w:trHeight w:val="232"/>
        </w:trPr>
        <w:tc>
          <w:tcPr>
            <w:tcW w:w="31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Tenant improvements</w:t>
            </w:r>
          </w:p>
        </w:tc>
        <w:tc>
          <w:tcPr>
            <w:tcW w:w="8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Lesser of the useful life or remaining term of the lease</w:t>
            </w:r>
          </w:p>
        </w:tc>
      </w:tr>
      <w:tr>
        <w:trPr>
          <w:trHeight w:val="224"/>
        </w:trPr>
        <w:tc>
          <w:tcPr>
            <w:tcW w:w="31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Furniture, fixtures and equipment</w:t>
            </w:r>
          </w:p>
        </w:tc>
        <w:tc>
          <w:tcPr>
            <w:tcW w:w="81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2 to 9 years</w:t>
            </w:r>
          </w:p>
        </w:tc>
      </w:tr>
    </w:tbl>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i w:val="1"/>
          <w:iCs w:val="1"/>
          <w:color w:val="auto"/>
        </w:rPr>
        <w:t>Impairment—</w:t>
      </w:r>
      <w:r>
        <w:rPr>
          <w:rFonts w:ascii="Times New Roman" w:cs="Times New Roman" w:eastAsia="Times New Roman" w:hAnsi="Times New Roman"/>
          <w:sz w:val="18"/>
          <w:szCs w:val="18"/>
          <w:color w:val="auto"/>
        </w:rPr>
        <w:t>The Company evaluates its real estate held for investment for impairment periodically or whenever events or changes in circumstances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indicate that the carrying amounts may not be recoverable. The Company evaluates real estate for impairment on the lowest level of identifiable cash flows, which is generally on an individual property basis. If an impairment indicator exists, the Company evaluates the undiscounted future net cash flows that are expected to be generated by the property, including any estimated proceeds from the eventual disposition of the property. If multiple outcomes are under consideration, the Company may apply a probability-weighted approach to the impairment analysis. Another key consideration in this assessment is the Company’s assumptions about the highest and best use of its real estate investments and its intent and ability to hold them for a reasonable period that would allow for the recovery of their carrying values. If such assumptions change and the Company shortens its expected hold period, this may result in the recognition of impairment losses. Based upon the analysis, if the carrying value of a property exceeds its undiscounted future net cash flows, an impairment loss is recognized for the excess of the carrying value of the property over the estimated fair value of the property. In evaluating and/or measuring impairment, the Company considers, among other things, current and estimated future cash flows associated with each property, market information for each sub-market, including, where applicable, capitalization rates, discount rates, leasing trends, occupancy trends, lease or room rates, and the market prices of similar properties recently sold or currently being offered for sale, and other quantitative and qualitative factors. Refer to Note 4, “Real Estate, net” and Note 11, “Fair Value” for further detail.</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Real Estate Held for Sale</w:t>
      </w:r>
    </w:p>
    <w:p>
      <w:pPr>
        <w:spacing w:after="0" w:line="16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Real estate is classified as held for sale in the period when (i) management approves a plan to sell the asset, (ii) the asset is available for immediate sale in its present condition, subject only to usual and customary terms, (iii) a program is initiated to locate a buyer and actively market the asset for sale at a reasonable price, and (iv) completion of the sale is probable within one year. Real estate held for sale is stated at the lower of its carrying amount or estimated fair value less disposal cost, with any write-down to fair value less disposal cost recorded as an impairment loss. For any increase in fair value less disposal cost subsequent to classification as held for sale, the impairment loss may be reversed, but only up to the amount of cumulative loss previously recognized. Depreciation is not recorded on assets classified as held for sale. At the time a sale is consummated, the excess, if any, of sale price less selling costs over carrying value of the real estate is recognized as a gain.</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If circumstances arise that were previously considered unlikely and, as a result, the Company decides not to sell the real estate asset previously classified as held for sale, the real estate asset is reclassified as held for investment. Upon reclassification, the real estate asset is measured at the lower of (i) its carrying amount prior to classification as held for sale, adjusted for depreciation expense that would have been recognized had the real estate been continuously classified as held for investment, and (ii) its estimated fair value at the time the Company decides not to sell.</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 September 30, 2026, there was one property classified as held for sale. At December 31, 2025, the Company classified one property as held for sale.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Refer to Note 4, “Real Estate, net” and Note 11, “Fair Value” for further detail.</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BRIGHTSPIRE CAPITAL,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Foreclosed Properties</w:t>
      </w:r>
    </w:p>
    <w:p>
      <w:pPr>
        <w:spacing w:after="0" w:line="14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Company receives foreclosed properties in full or partial settlement of loans held for investment by taking legal title or physical possession of the properties. Foreclosed properties are generally recognized at the time the real estate is received at foreclosure sale or upon execution of a deed-in-lieu of foreclosure. Foreclosed properties are initially measured at fair value. If the fair value of the property is lower than the carrying value of the loan, the difference is recognized through CECL reserves and the cumulative reserve on the loan is charged off prior to recording the loan as real estate. Fair value of foreclosed properties is generally based on a discounted cash flow, third party appraisals, broker price opinions, comparable sales, direct capitalization method or a combination thereof. At September 30, 2026, the Company held three foreclosed properties in other real estate, net with a combined carrying value of $220.1 million. At September 30, 2026, the Company held one foreclosed property in assets held for sale, with a carrying value of $32.0 million. At December 31, 2025, the Company held four foreclosed properties in other real estate, net with a combined carrying value of $237.0 million.</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Identifiable Intangibles</w:t>
      </w:r>
    </w:p>
    <w:p>
      <w:pPr>
        <w:spacing w:after="0" w:line="15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Identifiable intangibles recognized in acquisitions of operating real estate properties generally include in-place leases, above- or below-market leases and deferred leasing costs, all of which have finite lives. In-place leases generate value over and above tangible real estate because a property that is occupied with leased space is typically worth more than a vacant building without an operating lease contract in place. The estimated fair value of acquired in-place leases is derived based on management’s assessment of costs avoided from having tenants in place, including lost rental income, rent concessions and tenant allowances or reimbursements, that hypothetically would be incurred to lease a vacant building to its actual existing occupancy level on the valuation date. The net amount recorded for acquired in-place leases is included in intangible assets and amortized on a straight-line basis as an increase to depreciation and amortization expense over the remaining term of the applicable leases. If an in-place lease is terminated, the unamortized portion is charged to depreciation and amortization expense.</w:t>
      </w:r>
    </w:p>
    <w:p>
      <w:pPr>
        <w:spacing w:after="0" w:line="11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estimated fair value of the above- or below-market component of acquired leases represents the present value of the difference between contractual rents of acquired leases and market rents at the time of the acquisition for the remaining lease term, discounted for tenant credit risks. Above- or below-market operating lease values are amortized on a straight-line basis as a decrease or increase to rental income, respectively, over the applicable lease terms. This includes fixed rate renewal options in acquired leases that are below market, which are amortized to decrease rental income over the renewal period. Above- or below-market ground lease obligations are amortized on a straight-line basis as a decrease or increase to rent expense, respectively, over the applicable lease terms. If the above- or below-market operating lease values or above- or below-market ground lease obligations are terminated, the unamortized portion of the lease intangibles are recorded in rental income or rent expense, respectively.</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Deferred leasing costs represent management’s estimate of the avoided leasing commissions and legal fees associated with an existing in-place lease. The net amount is included in intangible assets and amortized on a straight-line basis as an increase to depreciation and amortization expense over the remaining term of the applicable lease.</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Transfers of Financial Assets</w:t>
      </w:r>
    </w:p>
    <w:p>
      <w:pPr>
        <w:spacing w:after="0" w:line="14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Sale accounting for transfers of financial assets requires the transfer of an entire financial asset, a group of financial assets in its entirety or if a component of the financial asset is transferred, that the component meets the definition of a participating interest with characteristics that mirror the original financial asset.</w:t>
      </w:r>
    </w:p>
    <w:p>
      <w:pPr>
        <w:spacing w:after="0" w:line="10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Transfers of financial assets are accounted for as sales when control over the assets has been surrendered. If the Company has any continuing involvement, rights or obligations with the transferred financial asset (outside of standard representations and warranties), sale accounting requires that the transfer meets the following sale conditions: (1) the transferred asset has been legally isolated; (2) the transferee has the right (free of conditions that constrain it from taking advantage of that right) to pledge or exchange the transferred asset; and (3) the Company does not maintain effective control over the transferred asset through an agreement that provides for (a) both an entitlement and an obligation by the Company to repurchase or redeem the asset before its maturity, (b) the unilateral ability by the Company to reclaim the asset and a more than trivial benefit attributable to that ability, or (c) the transferee requiring the Company to repurchase the asset at a price so favorable to the transferee that it is probable the repurchase will occur.</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If sale accounting is met, the transferred financial asset is removed from the balance sheet and a net gain or loss is recognized upon sale, taking into account any retained interests. Transfers of financial assets that do not meet the criteria for sale are accounted for as financing transactions, or secured borrowing, including the Company’s Master Repurchase Facilities (as defined herein).</w:t>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BRIGHTSPIRE CAPITAL,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Financing Costs</w:t>
      </w:r>
    </w:p>
    <w:p>
      <w:pPr>
        <w:spacing w:after="0" w:line="14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Financing costs primarily include debt discounts and premiums as well as deferred financing costs. Deferred financing costs represent commitment fees, legal and other third-party costs associated with obtaining financing. Costs related to revolving credit facilities, including master repurchase facilities, are recorded in other assets and are amortized to interest expense using the straight-line basis over the term of the facility. Costs related to other borrowings are recorded net against the carrying value of such borrowings and are amortized to interest expense using the effective interest method. The Company expenses unamortized deferred financing costs to other gain (loss), net when the associated facility is repaid before maturity. Costs incurred in seeking financing transactions, which do not close, are expensed in the period in which it is determined that the financing will not occur.</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Revenue Recognition</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Property Operating Income</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Property operating income includes the following:</w:t>
      </w:r>
    </w:p>
    <w:p>
      <w:pPr>
        <w:spacing w:after="0" w:line="156"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Rental Income—</w:t>
      </w:r>
      <w:r>
        <w:rPr>
          <w:rFonts w:ascii="Times New Roman" w:cs="Times New Roman" w:eastAsia="Times New Roman" w:hAnsi="Times New Roman"/>
          <w:sz w:val="18"/>
          <w:szCs w:val="18"/>
          <w:color w:val="auto"/>
        </w:rPr>
        <w:t>Rental income is recognized on a straight-line basis over the non-cancellable term of the related lease, together with renewal options that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are reasonably certain of being exercised, which includes the effects of minimum rent increases and rent abatements under the lease. Rents received in advance are deferred.</w:t>
      </w:r>
    </w:p>
    <w:p>
      <w:pPr>
        <w:spacing w:after="0" w:line="10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When it is determined that the Company is the owner of tenant improvements, the cost to construct the tenant improvements, including costs paid for or reimbursed by the tenants, is capitalized. For tenant improvements owned by the Company, the amount funded by or reimbursed by the tenants are recorded as deferred revenue, which is amortized on a straight-line basis as additional rental income over the term of the related lease. Rental income recognition commences when the leased space is substantially ready for its intended use and the tenant takes possession of the leased space.</w:t>
      </w:r>
    </w:p>
    <w:p>
      <w:pPr>
        <w:spacing w:after="0" w:line="9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When it is determined that the tenant is the owner of tenant improvements, the Company’s contribution towards those improvements is recorded as a lease incentive, included in deferred leasing costs and intangible assets on the balance sheet, and amortized as a reduction to rental income on a straight-line basis over the term of the lease. Rental income recognition commences when the tenant takes possession of the leased space.</w:t>
      </w:r>
    </w:p>
    <w:p>
      <w:pPr>
        <w:spacing w:after="0" w:line="106"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i w:val="1"/>
          <w:iCs w:val="1"/>
          <w:color w:val="auto"/>
        </w:rPr>
        <w:t>Tenant Reimbursements—</w:t>
      </w:r>
      <w:r>
        <w:rPr>
          <w:rFonts w:ascii="Times New Roman" w:cs="Times New Roman" w:eastAsia="Times New Roman" w:hAnsi="Times New Roman"/>
          <w:sz w:val="18"/>
          <w:szCs w:val="18"/>
          <w:color w:val="auto"/>
        </w:rPr>
        <w:t>In net lease arrangements, the tenant is generally responsible for operating expenses related to the property, including real estate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taxes, property insurance, maintenance, repairs and improvements. Costs reimbursable from tenants and other recoverable costs are recognized as revenue in the period the recoverable costs are incurred. When the Company is the primary obligor with respect to purchasing goods and services for property operations and has discretion in selecting the supplier and retains credit risk, tenant reimbursement revenue and property operating expenses are presented on a gross basis in the statements of operations. For certain triple net leases where the lessee self-manages the property, hires its own service providers and retains credit risk for routine maintenance contracts, no reimbursement revenue and expense are recognized.</w:t>
      </w:r>
    </w:p>
    <w:p>
      <w:pPr>
        <w:spacing w:after="0" w:line="115"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Hotel Operating Income—</w:t>
      </w:r>
      <w:r>
        <w:rPr>
          <w:rFonts w:ascii="Times New Roman" w:cs="Times New Roman" w:eastAsia="Times New Roman" w:hAnsi="Times New Roman"/>
          <w:sz w:val="18"/>
          <w:szCs w:val="18"/>
          <w:color w:val="auto"/>
        </w:rPr>
        <w:t>Hotel operating income includes room revenue, food and beverage sales and other ancillary services. Revenue is recognized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upon occupancy of rooms, consummation of sales and provision of services.</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Foreign Currency</w:t>
      </w:r>
    </w:p>
    <w:p>
      <w:pPr>
        <w:spacing w:after="0" w:line="15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Assets and liabilities denominated in a foreign currency for which the functional currency is a foreign currency are translated using the exchange rate in effect at the balance sheet date and the corresponding results of operations for such entities are translated using the average exchange rate in effect during the period. The resulting foreign currency translation adjustments are recorded as a component of accumulated other comprehensive income or loss in stockholders’ equity. Upon sale, complete or substantially complete liquidation of a foreign subsidiary, or upon partial sale of a foreign equity method investment, the translation adjustment associated with the investment, or a proportionate share related to the portion of equity method investment sold, is reclassified from accumulated other comprehensive income or loss into earnings. Refer to Note 10, “Stockholders’ Equity” for further discussion.</w:t>
      </w:r>
    </w:p>
    <w:p>
      <w:pPr>
        <w:spacing w:after="0" w:line="12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Assets and liabilities denominated in a foreign currency for which the functional currency is the U.S. dollar are remeasured using the exchange rate in effect at the balance sheet date and the corresponding results of operations for such entities are remeasured using the average exchange rate in effect during the period. The resulting foreign currency remeasurement adjustments are recorded in other gain (loss), net on the consolidated statements of operations.</w:t>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BRIGHTSPIRE CAPITAL,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9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Disclosures of non-U.S. dollar amounts to be recorded in the future are translated using exchange rates in effect at the date of the most recent balance sheet presented. As of June 30, 2025, the Company no longer had any assets or liabilities denominated in a foreign currency. Refer to Note 4, “Real Estate, net” for further detail.</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Equity-Based Compensation</w:t>
      </w:r>
    </w:p>
    <w:p>
      <w:pPr>
        <w:spacing w:after="0" w:line="15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Equity-classified stock awards granted to executive officers and non-employee directors are based on the closing price of the Class A common stock on the grant date and recognized on a straight-line basis over the requisite service period of the awards for restricted stock awards. For performance stock units (“PSUs”) the fair value is based on a Monte Carlo simulation as of the grant date and the expense is generally recognized on a straight-line basis over the measurement period, except when certain performance metrics are achieved. Refer to Note 9, “Equity-Based Compensation” for further discussion.</w:t>
      </w:r>
    </w:p>
    <w:p>
      <w:pPr>
        <w:spacing w:after="0" w:line="11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compensation expense is adjusted for actual forfeitures upon occurrence. Equity-based compensation is classified within compensation and benefits in the consolidated statements of operations.</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Earnings Per Share</w:t>
      </w:r>
    </w:p>
    <w:p>
      <w:pPr>
        <w:spacing w:after="0" w:line="15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Company presents both basic and diluted earnings per share (“EPS”) using the two-class method. Basic EPS is calculated by dividing earnings allocated to common shareholders, as adjusted for unallocated earnings attributable to certain participating securities, if any, by the weighted-average number of common shares outstanding during the period. Diluted EPS is based on the weighted-average number of common shares and the effect of potentially dilutive common share equivalents outstanding during the period. The two-class method is an allocation formula that determines earnings per share for each share of common stock and participating securities according to dividends declared and participation rights in undistributed earnings. Under this method, all earnings (distributed and undistributed) are allocated to common shares and participating securities based on their respective rights to receive dividends. The Company has certain share-based payment awards that contain nonforfeitable rights to dividends, which are considered participating securities for the purposes of computing EPS pursuant to the two-class method.</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Income Taxes</w:t>
      </w:r>
    </w:p>
    <w:p>
      <w:pPr>
        <w:spacing w:after="0" w:line="158" w:lineRule="exact"/>
        <w:rPr>
          <w:sz w:val="20"/>
          <w:szCs w:val="20"/>
          <w:color w:val="auto"/>
        </w:rPr>
      </w:pPr>
    </w:p>
    <w:p>
      <w:pPr>
        <w:jc w:val="both"/>
        <w:ind w:right="80"/>
        <w:spacing w:after="0" w:line="266" w:lineRule="auto"/>
        <w:rPr>
          <w:sz w:val="20"/>
          <w:szCs w:val="20"/>
          <w:color w:val="auto"/>
        </w:rPr>
      </w:pPr>
      <w:r>
        <w:rPr>
          <w:rFonts w:ascii="Times New Roman" w:cs="Times New Roman" w:eastAsia="Times New Roman" w:hAnsi="Times New Roman"/>
          <w:sz w:val="18"/>
          <w:szCs w:val="18"/>
          <w:color w:val="auto"/>
        </w:rPr>
        <w:t>For U.S. federal income tax purposes, the Company elected to be taxed as a REIT beginning with its taxable year ended December 31, 2018. To qualify as a REIT, the Company must continually satisfy tests concerning, among other things, the real estate qualification of sources of its income, the real estate composition and values of its assets, the amounts it distributes to stockholders and the diversity of ownership of its stock.</w:t>
      </w:r>
    </w:p>
    <w:p>
      <w:pPr>
        <w:spacing w:after="0" w:line="10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To the extent that the Company qualifies as a REIT, it generally will not be subject to U.S. federal income tax to the extent of its distributions to stockholders. The Company believes that all of the criteria to maintain the Company’s REIT qualification have been met for the applicable periods, but there can be no assurance that these criteria will continue to be met in subsequent periods. If the Company were to fail to meet these requirements, it would be subject to U.S. federal income tax and potential interest and penalties, which could have a material adverse impact on its results of operations and amounts available for distributions to its stockholders. The Company’s accounting policy with respect to interest and penalties is to classify these amounts as a component of income tax expense, where applicable.</w:t>
      </w:r>
    </w:p>
    <w:p>
      <w:pPr>
        <w:spacing w:after="0" w:line="10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may also be subject to certain state, local and franchise taxes. Under certain circumstances, U.S. federal income and excise taxes may be due on its undistributed taxable income. The Company previously held an investment in Europe which was subject to tax in its local jurisdiction.</w:t>
      </w:r>
    </w:p>
    <w:p>
      <w:pPr>
        <w:spacing w:after="0" w:line="9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made joint elections to treat certain subsidiaries as taxable REIT subsidiaries (“TRSs”) which may be subject to taxation by U.S. federal, state and local authorities. In general, a TRS of the Company may perform non-customary services for tenants, hold assets that the Company cannot hold directly and engage in most real estate or non-real estate-related business.</w:t>
      </w:r>
    </w:p>
    <w:p>
      <w:pPr>
        <w:spacing w:after="0" w:line="10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Certain subsidiaries of the Company are subject to taxation by U.S. federal, state and local authorities for the periods presented. Income taxes are accounted for by the asset/liability approach in accordance with GAAP. Deferred taxes, if any, represent the expected future tax consequences when the reported amounts of assets and liabilities are recovered or paid. Such amounts arise from differences between the financial reporting and tax bases of assets and liabilities and are adjusted for changes in tax laws and tax rates in the period during which such changes are enacted. A provision for income tax represents the total of income taxes paid or payable for the current period, plus the change in deferred taxes. Current and deferred taxes are recorded on the portion of earnings (losses) recognized by the Company with respect to its interest in TRSs. Deferred income tax assets and liabilities are calculated based on temporary differences between the Company’s GAAP consolidated financial statements and the U.S. federal, state and local tax basis of assets and liabilities as of the consolidated balance sheet date. The Company evaluates the realizability of its deferred tax assets (e.g., net operating loss and capital loss carryforwards) and recognizes a</w:t>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BRIGHTSPIRE CAPITAL,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9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valuation allowance if, based on the available evidence, it is more likely than not that some portion or all of its deferred tax assets will not be realized. When evaluating the realizability of its deferred tax assets, the Company considers estimates of expected future taxable income, existing and projected book/tax differences, tax planning strategies available and the general and industry-specific economic outlook. This realizability analysis is inherently subjective, as it requires the Company to forecast its business and general economic environment in future periods. Changes in estimate of deferred tax asset realizability, if any, are included in income tax expense in the consolidated statements of operations.</w:t>
      </w:r>
    </w:p>
    <w:p>
      <w:pPr>
        <w:spacing w:after="0" w:line="10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the three months ended September 30, 2026 and 2025, the Company recorded a de minimis income tax benefit and income tax expense of $0.1 million, respectively. For the nine months ended September 30, 2026 and 2025, the Company recorded an income tax benefit of $0.1 million and $21.5 million, respectively.</w:t>
      </w:r>
    </w:p>
    <w:p>
      <w:pPr>
        <w:spacing w:after="0" w:line="10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income tax benefit for the nine months ended September 30, 2025 includes a benefit of $22.1 million, which is the result of the reversal of a deferred tax liability associated with a European investment subsidiary that the lenders acquired control of following a maturity default on its bond financing. Refer to Note 4, “Real Estate, net” for further information.</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Current Expected Credit Loss (“CECL”) reserve</w:t>
      </w:r>
    </w:p>
    <w:p>
      <w:pPr>
        <w:spacing w:after="0" w:line="14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CECL reserve for the Company’s financial instruments carried at amortized cost and off-balance sheet credit exposures, such as loans, loan commitments and trade receivables, represents a lifetime estimate of expected credit losses. Factors considered by the Company when determining the CECL reserve include loan-specific characteristics such as loan-to-value (“LTV”) ratio, vintage year, loan term, property type, occupancy and geographic location, financial performance of the borrower, expected payments of principal and interest, as well as internal or external information relating to past events, current conditions and reasonable and supportable forecasts.</w:t>
      </w:r>
    </w:p>
    <w:p>
      <w:pPr>
        <w:spacing w:after="0" w:line="11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CECL reserve is measured on a collective (pool) basis when similar risk characteristics exist for multiple financial instruments. If similar risk characteristics do not exist, the Company measures the CECL reserve on an individual instrument basis. The determination of whether a particular financial instrument should be included in a pool can change over time. If a financial asset’s risk characteristics change, the Company evaluates whether it is appropriate to continue to keep the financial instrument in its existing pool or evaluate it individually.</w:t>
      </w:r>
    </w:p>
    <w:p>
      <w:pPr>
        <w:spacing w:after="0" w:line="11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measuring the CECL reserve for financial instruments that share similar risk characteristics, the Company primarily applies a probability of default (“PD”)/loss given default (“LGD”) model for instruments that are collectively assessed, whereby the CECL reserve is calculated as the product of PD, LGD and exposure at default. The Company’s model principally utilizes historical loss rates derived from a commercial mortgage-backed securities database with historical losses from 1998 through September 2026 provided by a third party, Trepp LLC, forecasting the loss parameters using a scenario-based statistical approach over a reasonable and supportable forecast period of twelve months, followed by a straight-line reversion period of twelve-months back to average historical losses. Where management has determined that the credit loss model does not fully capture certain external factors, including portfolio trends or loan specific factors, a qualitative adjustment to the reserve may be recorded.</w:t>
      </w:r>
    </w:p>
    <w:p>
      <w:pPr>
        <w:spacing w:after="0" w:line="10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For loans that do not share similar risk characteristics, the Company evaluates the CECL reserve on an individual basis. The Company considers loans to be collateral dependent when the borrower is experiencing financial difficulty and repayment of the loan is expected to be provided substantially through the operation or sale of the underlying collateral or foreclosure is probable. For such loans, the Company estimates the CECL reserve based on the difference between the fair value of the underlying collateral, net of selling costs, as applicable, and the amortized cost basis of the loan.</w:t>
      </w:r>
    </w:p>
    <w:p>
      <w:pPr>
        <w:spacing w:after="0" w:line="11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applies broadly accepted and standard real estate valuation techniques, such as a discounted cash flow (“DCF”), direct capitalization methodology, or sales comparables to determine the fair value of the collateral. Determining fair value of the collateral, including utilization of a practical expedient, may take into account a number of assumptions including, but not limited to, market rents and cash flow projections, market capitalization rates, discount rates and sales comps. Such assumptions are generally based on current market conditions and are subject to economic and market uncertainties.</w:t>
      </w:r>
    </w:p>
    <w:p>
      <w:pPr>
        <w:spacing w:after="0" w:line="11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Management only expects to charge-off the CECL reserves in the consolidated financial statements if and when such amounts are deemed non-recoverable. This is generally at the time a loan is repaid or foreclosed. However, non-recoverability may also be concluded if, management determines, it is nearly certain that all amounts will not be collected.</w:t>
      </w:r>
    </w:p>
    <w:p>
      <w:pPr>
        <w:spacing w:after="0" w:line="9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connection with developing the CECL reserve for its loans and preferred equity held for investment, the Company determines the risk ranking of each loan and preferred equity investment as a key credit quality indicator. The risk rankings are based on a variety of factors, including, without limitation, underlying real estate performance and asset value, values of comparable properties, durability and quality of property cash flows, sponsor experience and financial wherewithal, and the</w:t>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BRIGHTSPIRE CAPITAL,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9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existence of a risk-mitigating loan structure. Additional key considerations include loan-to-value ratios, debt service coverage ratios, loan structure, real estate and credit market dynamics, and risk of default or principal loss. Based on a five-point scale, the Company’s loans and preferred equity held for investment are rated “1” through “5”, from less risk to greater risk, and the ratings are updated quarterly. At the time of origination or purchase, loans and preferred equity held for investment are ranked as a “3” and will move accordingly going forward based on the ratings which are defined as follows:</w:t>
      </w:r>
    </w:p>
    <w:p>
      <w:pPr>
        <w:spacing w:after="0" w:line="97" w:lineRule="exact"/>
        <w:rPr>
          <w:sz w:val="20"/>
          <w:szCs w:val="20"/>
          <w:color w:val="auto"/>
        </w:rPr>
      </w:pPr>
    </w:p>
    <w:p>
      <w:pPr>
        <w:ind w:left="980" w:hanging="324"/>
        <w:spacing w:after="0"/>
        <w:tabs>
          <w:tab w:leader="none" w:pos="9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Very Low Risk</w:t>
      </w:r>
    </w:p>
    <w:p>
      <w:pPr>
        <w:spacing w:after="0" w:line="15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Low Risk</w:t>
      </w:r>
    </w:p>
    <w:p>
      <w:pPr>
        <w:spacing w:after="0" w:line="15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Medium Risk</w:t>
      </w:r>
    </w:p>
    <w:p>
      <w:pPr>
        <w:spacing w:after="0" w:line="144"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High Risk/Potential for Loss—</w:t>
      </w:r>
      <w:r>
        <w:rPr>
          <w:rFonts w:ascii="Times New Roman" w:cs="Times New Roman" w:eastAsia="Times New Roman" w:hAnsi="Times New Roman"/>
          <w:sz w:val="18"/>
          <w:szCs w:val="18"/>
          <w:color w:val="auto"/>
        </w:rPr>
        <w:t>A loan that has a high risk of realizing a principal loss.</w:t>
      </w:r>
    </w:p>
    <w:p>
      <w:pPr>
        <w:spacing w:after="0" w:line="15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Impaired/Loss Likely—</w:t>
      </w:r>
      <w:r>
        <w:rPr>
          <w:rFonts w:ascii="Times New Roman" w:cs="Times New Roman" w:eastAsia="Times New Roman" w:hAnsi="Times New Roman"/>
          <w:sz w:val="18"/>
          <w:szCs w:val="18"/>
          <w:color w:val="auto"/>
        </w:rPr>
        <w:t>A loan that has a very high risk of realizing a principal loss or has otherwise incurred a principal loss.</w:t>
      </w:r>
    </w:p>
    <w:p>
      <w:pPr>
        <w:spacing w:after="0" w:line="16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also considers qualitative factors, including, but not limited to, economic and business conditions, borrower actions, nature and volume of the loan portfolio, lending terms, volume and severity of past due loans, concentration of credit and changes in the level of such concentrations in its determination of the CECL reserve.</w:t>
      </w:r>
    </w:p>
    <w:p>
      <w:pPr>
        <w:spacing w:after="0" w:line="9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has elected to not measure a CECL reserve for accrued interest receivable as it is reversed against interest income when a loan or preferred equity investment is placed on nonaccrual status. Loans and preferred equity investments are charged off when all or a portion of the principal amount is determined to be uncollectible. Refer to “Nonaccrual” in “Loans and Preferred Equity Held for Investment” above for further detail.</w:t>
      </w:r>
    </w:p>
    <w:p>
      <w:pPr>
        <w:spacing w:after="0" w:line="10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Changes in the CECL reserve for the Company’s financial instruments are recorded in increase/decrease in current expected credit loss reserve on the consolidated statement of operations with a corresponding offset to the loans and preferred equity held for investment or as a component of other liabilities for future loan fundings recorded on the Company’s consolidated balance sheets. Refer to Note 3, “Loans and Preferred Equity Held for Investment, net” for further detail.</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Future Application of Accounting Standards</w:t>
      </w:r>
    </w:p>
    <w:p>
      <w:pPr>
        <w:spacing w:after="0" w:line="142"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i w:val="1"/>
          <w:iCs w:val="1"/>
          <w:color w:val="auto"/>
        </w:rPr>
        <w:t>Disaggregation of Income Statement Expenses—</w:t>
      </w:r>
      <w:r>
        <w:rPr>
          <w:rFonts w:ascii="Times New Roman" w:cs="Times New Roman" w:eastAsia="Times New Roman" w:hAnsi="Times New Roman"/>
          <w:sz w:val="18"/>
          <w:szCs w:val="18"/>
          <w:color w:val="auto"/>
        </w:rPr>
        <w:t>In November 2024, the FASB issued ASU No. 2024-03,</w:t>
      </w:r>
      <w:r>
        <w:rPr>
          <w:rFonts w:ascii="Times New Roman" w:cs="Times New Roman" w:eastAsia="Times New Roman" w:hAnsi="Times New Roman"/>
          <w:sz w:val="18"/>
          <w:szCs w:val="18"/>
          <w:i w:val="1"/>
          <w:iCs w:val="1"/>
          <w:color w:val="auto"/>
        </w:rPr>
        <w:t xml:space="preserve"> Income Statement- Reporting Comprehensive Income- Expense Disaggregation Disclosures (Subtopic 220-40)</w:t>
      </w:r>
      <w:r>
        <w:rPr>
          <w:rFonts w:ascii="Times New Roman" w:cs="Times New Roman" w:eastAsia="Times New Roman" w:hAnsi="Times New Roman"/>
          <w:sz w:val="18"/>
          <w:szCs w:val="18"/>
          <w:color w:val="auto"/>
        </w:rPr>
        <w:t>, and in January 2025, the FASB issued ASU No. 2025-01,</w:t>
      </w:r>
      <w:r>
        <w:rPr>
          <w:rFonts w:ascii="Times New Roman" w:cs="Times New Roman" w:eastAsia="Times New Roman" w:hAnsi="Times New Roman"/>
          <w:sz w:val="18"/>
          <w:szCs w:val="18"/>
          <w:i w:val="1"/>
          <w:iCs w:val="1"/>
          <w:color w:val="auto"/>
        </w:rPr>
        <w:t xml:space="preserve"> Income Statement- Reporting Comprehensive Income- Expense Disaggregation Disclosures (Subtopic 220-40): Clarifying the Effective Date. </w:t>
      </w:r>
      <w:r>
        <w:rPr>
          <w:rFonts w:ascii="Times New Roman" w:cs="Times New Roman" w:eastAsia="Times New Roman" w:hAnsi="Times New Roman"/>
          <w:sz w:val="18"/>
          <w:szCs w:val="18"/>
          <w:color w:val="auto"/>
        </w:rPr>
        <w:t>ASU 2024-03 requires disclosures 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certain costs and expenses for each interim and annual reporting period. ASU No. 2024-03, as clarified by ASU No. 2025-01, is effective for fiscal years beginning after December 15, 2026, and interim periods within fiscal years beginning after December 15, 2027, with early adoption permitted. The Company does not expect the adoption of ASU No. 2024-03 to have a material impact on its consolidated financial statements.</w:t>
      </w:r>
    </w:p>
    <w:p>
      <w:pPr>
        <w:spacing w:after="0" w:line="115"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i w:val="1"/>
          <w:iCs w:val="1"/>
          <w:color w:val="auto"/>
        </w:rPr>
        <w:t>Business Combinations and Consolidation—</w:t>
      </w:r>
      <w:r>
        <w:rPr>
          <w:rFonts w:ascii="Times New Roman" w:cs="Times New Roman" w:eastAsia="Times New Roman" w:hAnsi="Times New Roman"/>
          <w:sz w:val="18"/>
          <w:szCs w:val="18"/>
          <w:color w:val="auto"/>
        </w:rPr>
        <w:t>In May 2025, the FASB issued ASU No. 2025-03,</w:t>
      </w:r>
      <w:r>
        <w:rPr>
          <w:rFonts w:ascii="Times New Roman" w:cs="Times New Roman" w:eastAsia="Times New Roman" w:hAnsi="Times New Roman"/>
          <w:sz w:val="18"/>
          <w:szCs w:val="18"/>
          <w:i w:val="1"/>
          <w:iCs w:val="1"/>
          <w:color w:val="auto"/>
        </w:rPr>
        <w:t xml:space="preserve"> Business Combinations and Consolidation: Determining The Accounting Acquirer In The Acquisition of a Variable Interest Entity. </w:t>
      </w:r>
      <w:r>
        <w:rPr>
          <w:rFonts w:ascii="Times New Roman" w:cs="Times New Roman" w:eastAsia="Times New Roman" w:hAnsi="Times New Roman"/>
          <w:sz w:val="18"/>
          <w:szCs w:val="18"/>
          <w:color w:val="auto"/>
        </w:rPr>
        <w:t>The ASU requires reporting entities involved in a business combination effected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primarily by the exchange of equity interests to consider the new guidance to determine which entity is the accounting acquirer regardless of whether the legal acquiree is a VIE. As a result, a reporting entity can determine that a transaction in which the legal acquiree is a VIE represents a reverse acquisition and the acquirer is identified as the acquiree for accounting purposes. This ASU is effective for periods beginning after December 15, 2026, with early adoption permitted. The Company does not expect the adoption of ASU No. 2025-03 to have a material impact on its consolidated financial statements.</w:t>
      </w:r>
    </w:p>
    <w:p>
      <w:pPr>
        <w:spacing w:after="0" w:line="115"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i w:val="1"/>
          <w:iCs w:val="1"/>
          <w:color w:val="auto"/>
        </w:rPr>
        <w:t>Interim Reporting—</w:t>
      </w:r>
      <w:r>
        <w:rPr>
          <w:rFonts w:ascii="Times New Roman" w:cs="Times New Roman" w:eastAsia="Times New Roman" w:hAnsi="Times New Roman"/>
          <w:sz w:val="18"/>
          <w:szCs w:val="18"/>
          <w:color w:val="auto"/>
        </w:rPr>
        <w:t>In December 2025, the FASB issued ASU No. 2025-11,</w:t>
      </w:r>
      <w:r>
        <w:rPr>
          <w:rFonts w:ascii="Times New Roman" w:cs="Times New Roman" w:eastAsia="Times New Roman" w:hAnsi="Times New Roman"/>
          <w:sz w:val="18"/>
          <w:szCs w:val="18"/>
          <w:i w:val="1"/>
          <w:iCs w:val="1"/>
          <w:color w:val="auto"/>
        </w:rPr>
        <w:t xml:space="preserve"> Interim Reporting (Topic 270): Narrow Scope Improvements. </w:t>
      </w:r>
      <w:r>
        <w:rPr>
          <w:rFonts w:ascii="Times New Roman" w:cs="Times New Roman" w:eastAsia="Times New Roman" w:hAnsi="Times New Roman"/>
          <w:sz w:val="18"/>
          <w:szCs w:val="18"/>
          <w:color w:val="auto"/>
        </w:rPr>
        <w:t>The guidance 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intended to improve the literature surrounding interim disclosures and when such disclosures are required. The amendment also adds a principle that requires entities to disclose events since the end of the last annual reporting period that have a material impact on the entity. The guidance is not intended to change current requirements and is intended to provide clarity on current requirements. This ASU is effective for periods beginning after December 15, 2027, with early adoption permitted. The Company does not expect the adoption of ASU No. 2025-11 to have a material impact on its consolidated financial statements.</w:t>
      </w:r>
    </w:p>
    <w:p>
      <w:pPr>
        <w:spacing w:after="0" w:line="103"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Any new accounting standards that have not been disclosed that have been issued or proposed by FASB and that do not require adoption until a future date are being evaluated and not expected to have a material impact on the financial statements.</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BRIGHTSPIRE CAPITAL,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Loans and Preferred Equity Held for Investment, net</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provides a summary of the Company’s loans and preferred equity held for investment, net (dollars in thousands):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420" w:type="dxa"/>
            <w:vAlign w:val="bottom"/>
            <w:gridSpan w:val="5"/>
          </w:tcPr>
          <w:p>
            <w:pPr>
              <w:ind w:left="80"/>
              <w:spacing w:after="0"/>
              <w:rPr>
                <w:sz w:val="20"/>
                <w:szCs w:val="20"/>
                <w:color w:val="auto"/>
              </w:rPr>
            </w:pPr>
            <w:r>
              <w:rPr>
                <w:rFonts w:ascii="Times New Roman" w:cs="Times New Roman" w:eastAsia="Times New Roman" w:hAnsi="Times New Roman"/>
                <w:sz w:val="14"/>
                <w:szCs w:val="14"/>
                <w:b w:val="1"/>
                <w:bCs w:val="1"/>
                <w:color w:val="auto"/>
              </w:rPr>
              <w:t>September 30, 2026</w:t>
            </w: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20" w:type="dxa"/>
            <w:vAlign w:val="bottom"/>
            <w:gridSpan w:val="5"/>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1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gridSpan w:val="2"/>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gridSpan w:val="2"/>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44"/>
        </w:trPr>
        <w:tc>
          <w:tcPr>
            <w:tcW w:w="1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9"/>
              </w:rPr>
              <w:t>Unpaid</w:t>
            </w: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1300" w:type="dxa"/>
            <w:vAlign w:val="bottom"/>
            <w:gridSpan w:val="2"/>
          </w:tcPr>
          <w:p>
            <w:pPr>
              <w:jc w:val="center"/>
              <w:ind w:right="280"/>
              <w:spacing w:after="0" w:line="145" w:lineRule="exact"/>
              <w:rPr>
                <w:sz w:val="20"/>
                <w:szCs w:val="20"/>
                <w:color w:val="auto"/>
              </w:rPr>
            </w:pPr>
            <w:r>
              <w:rPr>
                <w:rFonts w:ascii="Times New Roman" w:cs="Times New Roman" w:eastAsia="Times New Roman" w:hAnsi="Times New Roman"/>
                <w:sz w:val="14"/>
                <w:szCs w:val="14"/>
                <w:b w:val="1"/>
                <w:bCs w:val="1"/>
                <w:color w:val="auto"/>
              </w:rPr>
              <w:t>Weighted</w:t>
            </w:r>
          </w:p>
        </w:tc>
        <w:tc>
          <w:tcPr>
            <w:tcW w:w="900" w:type="dxa"/>
            <w:vAlign w:val="bottom"/>
            <w:gridSpan w:val="2"/>
          </w:tcPr>
          <w:p>
            <w:pPr>
              <w:jc w:val="center"/>
              <w:ind w:right="100"/>
              <w:spacing w:after="0" w:line="145" w:lineRule="exact"/>
              <w:rPr>
                <w:sz w:val="20"/>
                <w:szCs w:val="20"/>
                <w:color w:val="auto"/>
              </w:rPr>
            </w:pPr>
            <w:r>
              <w:rPr>
                <w:rFonts w:ascii="Times New Roman" w:cs="Times New Roman" w:eastAsia="Times New Roman" w:hAnsi="Times New Roman"/>
                <w:sz w:val="14"/>
                <w:szCs w:val="14"/>
                <w:b w:val="1"/>
                <w:bCs w:val="1"/>
                <w:color w:val="auto"/>
              </w:rPr>
              <w:t>Weighted</w:t>
            </w:r>
          </w:p>
        </w:tc>
        <w:tc>
          <w:tcPr>
            <w:tcW w:w="120" w:type="dxa"/>
            <w:vAlign w:val="bottom"/>
          </w:tcPr>
          <w:p>
            <w:pPr>
              <w:spacing w:after="0"/>
              <w:rPr>
                <w:sz w:val="12"/>
                <w:szCs w:val="12"/>
                <w:color w:val="auto"/>
              </w:rPr>
            </w:pPr>
          </w:p>
        </w:tc>
        <w:tc>
          <w:tcPr>
            <w:tcW w:w="88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Unpaid</w:t>
            </w: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20" w:type="dxa"/>
            <w:vAlign w:val="bottom"/>
            <w:gridSpan w:val="3"/>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1020" w:type="dxa"/>
            <w:vAlign w:val="bottom"/>
            <w:gridSpan w:val="2"/>
          </w:tcPr>
          <w:p>
            <w:pPr>
              <w:jc w:val="center"/>
              <w:ind w:right="160"/>
              <w:spacing w:after="0" w:line="145" w:lineRule="exact"/>
              <w:rPr>
                <w:sz w:val="20"/>
                <w:szCs w:val="20"/>
                <w:color w:val="auto"/>
              </w:rPr>
            </w:pPr>
            <w:r>
              <w:rPr>
                <w:rFonts w:ascii="Times New Roman" w:cs="Times New Roman" w:eastAsia="Times New Roman" w:hAnsi="Times New Roman"/>
                <w:sz w:val="14"/>
                <w:szCs w:val="14"/>
                <w:b w:val="1"/>
                <w:bCs w:val="1"/>
                <w:color w:val="auto"/>
              </w:rPr>
              <w:t>Weighted</w:t>
            </w:r>
          </w:p>
        </w:tc>
        <w:tc>
          <w:tcPr>
            <w:tcW w:w="840" w:type="dxa"/>
            <w:vAlign w:val="bottom"/>
          </w:tcPr>
          <w:p>
            <w:pPr>
              <w:jc w:val="center"/>
              <w:spacing w:after="0" w:line="145" w:lineRule="exact"/>
              <w:rPr>
                <w:sz w:val="20"/>
                <w:szCs w:val="20"/>
                <w:color w:val="auto"/>
              </w:rPr>
            </w:pPr>
            <w:r>
              <w:rPr>
                <w:rFonts w:ascii="Times New Roman" w:cs="Times New Roman" w:eastAsia="Times New Roman" w:hAnsi="Times New Roman"/>
                <w:sz w:val="14"/>
                <w:szCs w:val="14"/>
                <w:b w:val="1"/>
                <w:bCs w:val="1"/>
                <w:color w:val="auto"/>
              </w:rPr>
              <w:t>Weighted</w:t>
            </w:r>
          </w:p>
        </w:tc>
        <w:tc>
          <w:tcPr>
            <w:tcW w:w="0" w:type="dxa"/>
            <w:vAlign w:val="bottom"/>
          </w:tcPr>
          <w:p>
            <w:pPr>
              <w:spacing w:after="0"/>
              <w:rPr>
                <w:sz w:val="1"/>
                <w:szCs w:val="1"/>
                <w:color w:val="auto"/>
              </w:rPr>
            </w:pPr>
          </w:p>
        </w:tc>
      </w:tr>
      <w:tr>
        <w:trPr>
          <w:trHeight w:val="146"/>
        </w:trPr>
        <w:tc>
          <w:tcPr>
            <w:tcW w:w="1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vMerge w:val="restart"/>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Carrying</w:t>
            </w:r>
          </w:p>
        </w:tc>
        <w:tc>
          <w:tcPr>
            <w:tcW w:w="80" w:type="dxa"/>
            <w:vAlign w:val="bottom"/>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1300" w:type="dxa"/>
            <w:vAlign w:val="bottom"/>
            <w:gridSpan w:val="2"/>
          </w:tcPr>
          <w:p>
            <w:pPr>
              <w:jc w:val="center"/>
              <w:ind w:right="280"/>
              <w:spacing w:after="0" w:line="146" w:lineRule="exact"/>
              <w:rPr>
                <w:sz w:val="20"/>
                <w:szCs w:val="20"/>
                <w:color w:val="auto"/>
              </w:rPr>
            </w:pPr>
            <w:r>
              <w:rPr>
                <w:rFonts w:ascii="Times New Roman" w:cs="Times New Roman" w:eastAsia="Times New Roman" w:hAnsi="Times New Roman"/>
                <w:sz w:val="14"/>
                <w:szCs w:val="14"/>
                <w:b w:val="1"/>
                <w:bCs w:val="1"/>
                <w:color w:val="auto"/>
              </w:rPr>
              <w:t>Average of</w:t>
            </w:r>
          </w:p>
        </w:tc>
        <w:tc>
          <w:tcPr>
            <w:tcW w:w="900" w:type="dxa"/>
            <w:vAlign w:val="bottom"/>
            <w:gridSpan w:val="2"/>
          </w:tcPr>
          <w:p>
            <w:pPr>
              <w:jc w:val="center"/>
              <w:ind w:right="120"/>
              <w:spacing w:after="0" w:line="146"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20" w:type="dxa"/>
            <w:vAlign w:val="bottom"/>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vMerge w:val="restart"/>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Carrying</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20" w:type="dxa"/>
            <w:vAlign w:val="bottom"/>
            <w:gridSpan w:val="3"/>
            <w:vMerge w:val="continue"/>
          </w:tcPr>
          <w:p>
            <w:pPr>
              <w:spacing w:after="0"/>
              <w:rPr>
                <w:sz w:val="12"/>
                <w:szCs w:val="12"/>
                <w:color w:val="auto"/>
              </w:rPr>
            </w:pPr>
          </w:p>
        </w:tc>
        <w:tc>
          <w:tcPr>
            <w:tcW w:w="1020" w:type="dxa"/>
            <w:vAlign w:val="bottom"/>
            <w:gridSpan w:val="2"/>
          </w:tcPr>
          <w:p>
            <w:pPr>
              <w:jc w:val="center"/>
              <w:ind w:right="160"/>
              <w:spacing w:after="0" w:line="146" w:lineRule="exact"/>
              <w:rPr>
                <w:sz w:val="20"/>
                <w:szCs w:val="20"/>
                <w:color w:val="auto"/>
              </w:rPr>
            </w:pPr>
            <w:r>
              <w:rPr>
                <w:rFonts w:ascii="Times New Roman" w:cs="Times New Roman" w:eastAsia="Times New Roman" w:hAnsi="Times New Roman"/>
                <w:sz w:val="14"/>
                <w:szCs w:val="14"/>
                <w:b w:val="1"/>
                <w:bCs w:val="1"/>
                <w:color w:val="auto"/>
              </w:rPr>
              <w:t>Average of</w:t>
            </w:r>
          </w:p>
        </w:tc>
        <w:tc>
          <w:tcPr>
            <w:tcW w:w="84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Average</w:t>
            </w:r>
          </w:p>
        </w:tc>
        <w:tc>
          <w:tcPr>
            <w:tcW w:w="0" w:type="dxa"/>
            <w:vAlign w:val="bottom"/>
          </w:tcPr>
          <w:p>
            <w:pPr>
              <w:spacing w:after="0"/>
              <w:rPr>
                <w:sz w:val="1"/>
                <w:szCs w:val="1"/>
                <w:color w:val="auto"/>
              </w:rPr>
            </w:pPr>
          </w:p>
        </w:tc>
      </w:tr>
      <w:tr>
        <w:trPr>
          <w:trHeight w:val="148"/>
        </w:trPr>
        <w:tc>
          <w:tcPr>
            <w:tcW w:w="1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Principal</w:t>
            </w:r>
          </w:p>
        </w:tc>
        <w:tc>
          <w:tcPr>
            <w:tcW w:w="120" w:type="dxa"/>
            <w:vAlign w:val="bottom"/>
          </w:tcPr>
          <w:p>
            <w:pPr>
              <w:spacing w:after="0"/>
              <w:rPr>
                <w:sz w:val="12"/>
                <w:szCs w:val="12"/>
                <w:color w:val="auto"/>
              </w:rPr>
            </w:pPr>
          </w:p>
        </w:tc>
        <w:tc>
          <w:tcPr>
            <w:tcW w:w="76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30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Contractual</w:t>
            </w:r>
          </w:p>
        </w:tc>
        <w:tc>
          <w:tcPr>
            <w:tcW w:w="90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Maturity in</w:t>
            </w:r>
          </w:p>
        </w:tc>
        <w:tc>
          <w:tcPr>
            <w:tcW w:w="120" w:type="dxa"/>
            <w:vAlign w:val="bottom"/>
          </w:tcPr>
          <w:p>
            <w:pPr>
              <w:spacing w:after="0"/>
              <w:rPr>
                <w:sz w:val="12"/>
                <w:szCs w:val="12"/>
                <w:color w:val="auto"/>
              </w:rPr>
            </w:pPr>
          </w:p>
        </w:tc>
        <w:tc>
          <w:tcPr>
            <w:tcW w:w="88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Principal</w:t>
            </w:r>
          </w:p>
        </w:tc>
        <w:tc>
          <w:tcPr>
            <w:tcW w:w="120" w:type="dxa"/>
            <w:vAlign w:val="bottom"/>
          </w:tcPr>
          <w:p>
            <w:pPr>
              <w:spacing w:after="0"/>
              <w:rPr>
                <w:sz w:val="12"/>
                <w:szCs w:val="12"/>
                <w:color w:val="auto"/>
              </w:rPr>
            </w:pPr>
          </w:p>
        </w:tc>
        <w:tc>
          <w:tcPr>
            <w:tcW w:w="76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20" w:type="dxa"/>
            <w:vAlign w:val="bottom"/>
            <w:gridSpan w:val="3"/>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02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Contractual</w:t>
            </w:r>
          </w:p>
        </w:tc>
        <w:tc>
          <w:tcPr>
            <w:tcW w:w="8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Maturity in</w:t>
            </w:r>
          </w:p>
        </w:tc>
        <w:tc>
          <w:tcPr>
            <w:tcW w:w="0" w:type="dxa"/>
            <w:vAlign w:val="bottom"/>
          </w:tcPr>
          <w:p>
            <w:pPr>
              <w:spacing w:after="0"/>
              <w:rPr>
                <w:sz w:val="1"/>
                <w:szCs w:val="1"/>
                <w:color w:val="auto"/>
              </w:rPr>
            </w:pPr>
          </w:p>
        </w:tc>
      </w:tr>
      <w:tr>
        <w:trPr>
          <w:trHeight w:val="203"/>
        </w:trPr>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Balance</w:t>
            </w:r>
          </w:p>
        </w:tc>
        <w:tc>
          <w:tcPr>
            <w:tcW w:w="120" w:type="dxa"/>
            <w:vAlign w:val="bottom"/>
          </w:tcPr>
          <w:p>
            <w:pPr>
              <w:spacing w:after="0"/>
              <w:rPr>
                <w:sz w:val="17"/>
                <w:szCs w:val="17"/>
                <w:color w:val="auto"/>
              </w:rPr>
            </w:pPr>
          </w:p>
        </w:tc>
        <w:tc>
          <w:tcPr>
            <w:tcW w:w="760" w:type="dxa"/>
            <w:vAlign w:val="bottom"/>
          </w:tcPr>
          <w:p>
            <w:pPr>
              <w:jc w:val="right"/>
              <w:ind w:right="208"/>
              <w:spacing w:after="0"/>
              <w:rPr>
                <w:sz w:val="20"/>
                <w:szCs w:val="20"/>
                <w:color w:val="auto"/>
              </w:rPr>
            </w:pPr>
            <w:r>
              <w:rPr>
                <w:rFonts w:ascii="Times New Roman" w:cs="Times New Roman" w:eastAsia="Times New Roman" w:hAnsi="Times New Roman"/>
                <w:sz w:val="14"/>
                <w:szCs w:val="14"/>
                <w:b w:val="1"/>
                <w:bCs w:val="1"/>
                <w:color w:val="auto"/>
              </w:rPr>
              <w:t>Value</w:t>
            </w:r>
          </w:p>
        </w:tc>
        <w:tc>
          <w:tcPr>
            <w:tcW w:w="80" w:type="dxa"/>
            <w:vAlign w:val="bottom"/>
          </w:tcPr>
          <w:p>
            <w:pPr>
              <w:spacing w:after="0"/>
              <w:rPr>
                <w:sz w:val="17"/>
                <w:szCs w:val="17"/>
                <w:color w:val="auto"/>
              </w:rPr>
            </w:pPr>
          </w:p>
        </w:tc>
        <w:tc>
          <w:tcPr>
            <w:tcW w:w="104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Coupon</w:t>
            </w:r>
            <w:r>
              <w:rPr>
                <w:rFonts w:ascii="Times New Roman" w:cs="Times New Roman" w:eastAsia="Times New Roman" w:hAnsi="Times New Roman"/>
                <w:sz w:val="9"/>
                <w:szCs w:val="9"/>
                <w:b w:val="1"/>
                <w:bCs w:val="1"/>
                <w:color w:val="auto"/>
              </w:rPr>
              <w:t>(1)</w:t>
            </w:r>
          </w:p>
        </w:tc>
        <w:tc>
          <w:tcPr>
            <w:tcW w:w="1300" w:type="dxa"/>
            <w:vAlign w:val="bottom"/>
            <w:gridSpan w:val="2"/>
          </w:tcPr>
          <w:p>
            <w:pPr>
              <w:jc w:val="center"/>
              <w:ind w:right="280"/>
              <w:spacing w:after="0" w:line="202" w:lineRule="exact"/>
              <w:rPr>
                <w:sz w:val="20"/>
                <w:szCs w:val="20"/>
                <w:color w:val="auto"/>
              </w:rPr>
            </w:pPr>
            <w:r>
              <w:rPr>
                <w:rFonts w:ascii="Times New Roman" w:cs="Times New Roman" w:eastAsia="Times New Roman" w:hAnsi="Times New Roman"/>
                <w:sz w:val="14"/>
                <w:szCs w:val="14"/>
                <w:b w:val="1"/>
                <w:bCs w:val="1"/>
                <w:color w:val="auto"/>
                <w:w w:val="96"/>
              </w:rPr>
              <w:t>Maturity</w:t>
            </w:r>
            <w:r>
              <w:rPr>
                <w:rFonts w:ascii="Times New Roman" w:cs="Times New Roman" w:eastAsia="Times New Roman" w:hAnsi="Times New Roman"/>
                <w:sz w:val="18"/>
                <w:szCs w:val="18"/>
                <w:b w:val="1"/>
                <w:bCs w:val="1"/>
                <w:color w:val="auto"/>
                <w:w w:val="96"/>
                <w:vertAlign w:val="superscript"/>
              </w:rPr>
              <w:t>(2)</w:t>
            </w:r>
          </w:p>
        </w:tc>
        <w:tc>
          <w:tcPr>
            <w:tcW w:w="900" w:type="dxa"/>
            <w:vAlign w:val="bottom"/>
            <w:gridSpan w:val="2"/>
          </w:tcPr>
          <w:p>
            <w:pPr>
              <w:jc w:val="center"/>
              <w:ind w:right="100"/>
              <w:spacing w:after="0" w:line="202" w:lineRule="exact"/>
              <w:rPr>
                <w:sz w:val="20"/>
                <w:szCs w:val="20"/>
                <w:color w:val="auto"/>
              </w:rPr>
            </w:pPr>
            <w:r>
              <w:rPr>
                <w:rFonts w:ascii="Times New Roman" w:cs="Times New Roman" w:eastAsia="Times New Roman" w:hAnsi="Times New Roman"/>
                <w:sz w:val="14"/>
                <w:szCs w:val="14"/>
                <w:b w:val="1"/>
                <w:bCs w:val="1"/>
                <w:color w:val="auto"/>
                <w:w w:val="89"/>
              </w:rPr>
              <w:t>Years</w:t>
            </w:r>
            <w:r>
              <w:rPr>
                <w:rFonts w:ascii="Times New Roman" w:cs="Times New Roman" w:eastAsia="Times New Roman" w:hAnsi="Times New Roman"/>
                <w:sz w:val="18"/>
                <w:szCs w:val="18"/>
                <w:b w:val="1"/>
                <w:bCs w:val="1"/>
                <w:color w:val="auto"/>
                <w:w w:val="89"/>
                <w:vertAlign w:val="superscript"/>
              </w:rPr>
              <w:t>(3)</w:t>
            </w:r>
          </w:p>
        </w:tc>
        <w:tc>
          <w:tcPr>
            <w:tcW w:w="120" w:type="dxa"/>
            <w:vAlign w:val="bottom"/>
          </w:tcPr>
          <w:p>
            <w:pPr>
              <w:spacing w:after="0"/>
              <w:rPr>
                <w:sz w:val="17"/>
                <w:szCs w:val="17"/>
                <w:color w:val="auto"/>
              </w:rPr>
            </w:pPr>
          </w:p>
        </w:tc>
        <w:tc>
          <w:tcPr>
            <w:tcW w:w="88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Balance</w:t>
            </w:r>
          </w:p>
        </w:tc>
        <w:tc>
          <w:tcPr>
            <w:tcW w:w="120" w:type="dxa"/>
            <w:vAlign w:val="bottom"/>
          </w:tcPr>
          <w:p>
            <w:pPr>
              <w:spacing w:after="0"/>
              <w:rPr>
                <w:sz w:val="17"/>
                <w:szCs w:val="17"/>
                <w:color w:val="auto"/>
              </w:rPr>
            </w:pPr>
          </w:p>
        </w:tc>
        <w:tc>
          <w:tcPr>
            <w:tcW w:w="760" w:type="dxa"/>
            <w:vAlign w:val="bottom"/>
          </w:tcPr>
          <w:p>
            <w:pPr>
              <w:jc w:val="right"/>
              <w:ind w:right="188"/>
              <w:spacing w:after="0"/>
              <w:rPr>
                <w:sz w:val="20"/>
                <w:szCs w:val="20"/>
                <w:color w:val="auto"/>
              </w:rPr>
            </w:pPr>
            <w:r>
              <w:rPr>
                <w:rFonts w:ascii="Times New Roman" w:cs="Times New Roman" w:eastAsia="Times New Roman" w:hAnsi="Times New Roman"/>
                <w:sz w:val="14"/>
                <w:szCs w:val="14"/>
                <w:b w:val="1"/>
                <w:bCs w:val="1"/>
                <w:color w:val="auto"/>
              </w:rPr>
              <w:t>Value</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20" w:type="dxa"/>
            <w:vAlign w:val="bottom"/>
            <w:gridSpan w:val="3"/>
          </w:tcPr>
          <w:p>
            <w:pPr>
              <w:jc w:val="center"/>
              <w:ind w:right="160"/>
              <w:spacing w:after="0" w:line="202" w:lineRule="exact"/>
              <w:rPr>
                <w:sz w:val="20"/>
                <w:szCs w:val="20"/>
                <w:color w:val="auto"/>
              </w:rPr>
            </w:pPr>
            <w:r>
              <w:rPr>
                <w:rFonts w:ascii="Times New Roman" w:cs="Times New Roman" w:eastAsia="Times New Roman" w:hAnsi="Times New Roman"/>
                <w:sz w:val="14"/>
                <w:szCs w:val="14"/>
                <w:b w:val="1"/>
                <w:bCs w:val="1"/>
                <w:color w:val="auto"/>
                <w:w w:val="97"/>
              </w:rPr>
              <w:t>Coupon</w:t>
            </w:r>
            <w:r>
              <w:rPr>
                <w:rFonts w:ascii="Times New Roman" w:cs="Times New Roman" w:eastAsia="Times New Roman" w:hAnsi="Times New Roman"/>
                <w:sz w:val="18"/>
                <w:szCs w:val="18"/>
                <w:b w:val="1"/>
                <w:bCs w:val="1"/>
                <w:color w:val="auto"/>
                <w:w w:val="97"/>
                <w:vertAlign w:val="superscript"/>
              </w:rPr>
              <w:t>(1)</w:t>
            </w:r>
          </w:p>
        </w:tc>
        <w:tc>
          <w:tcPr>
            <w:tcW w:w="1020" w:type="dxa"/>
            <w:vAlign w:val="bottom"/>
            <w:gridSpan w:val="2"/>
          </w:tcPr>
          <w:p>
            <w:pPr>
              <w:jc w:val="center"/>
              <w:ind w:right="160"/>
              <w:spacing w:after="0" w:line="202" w:lineRule="exact"/>
              <w:rPr>
                <w:sz w:val="20"/>
                <w:szCs w:val="20"/>
                <w:color w:val="auto"/>
              </w:rPr>
            </w:pPr>
            <w:r>
              <w:rPr>
                <w:rFonts w:ascii="Times New Roman" w:cs="Times New Roman" w:eastAsia="Times New Roman" w:hAnsi="Times New Roman"/>
                <w:sz w:val="14"/>
                <w:szCs w:val="14"/>
                <w:b w:val="1"/>
                <w:bCs w:val="1"/>
                <w:color w:val="auto"/>
                <w:w w:val="96"/>
              </w:rPr>
              <w:t>Maturity</w:t>
            </w:r>
            <w:r>
              <w:rPr>
                <w:rFonts w:ascii="Times New Roman" w:cs="Times New Roman" w:eastAsia="Times New Roman" w:hAnsi="Times New Roman"/>
                <w:sz w:val="18"/>
                <w:szCs w:val="18"/>
                <w:b w:val="1"/>
                <w:bCs w:val="1"/>
                <w:color w:val="auto"/>
                <w:w w:val="96"/>
                <w:vertAlign w:val="superscript"/>
              </w:rPr>
              <w:t>(2)</w:t>
            </w:r>
          </w:p>
        </w:tc>
        <w:tc>
          <w:tcPr>
            <w:tcW w:w="840" w:type="dxa"/>
            <w:vAlign w:val="bottom"/>
          </w:tcPr>
          <w:p>
            <w:pPr>
              <w:jc w:val="center"/>
              <w:spacing w:after="0" w:line="202" w:lineRule="exact"/>
              <w:rPr>
                <w:sz w:val="20"/>
                <w:szCs w:val="20"/>
                <w:color w:val="auto"/>
              </w:rPr>
            </w:pPr>
            <w:r>
              <w:rPr>
                <w:rFonts w:ascii="Times New Roman" w:cs="Times New Roman" w:eastAsia="Times New Roman" w:hAnsi="Times New Roman"/>
                <w:sz w:val="14"/>
                <w:szCs w:val="14"/>
                <w:b w:val="1"/>
                <w:bCs w:val="1"/>
                <w:color w:val="auto"/>
                <w:w w:val="89"/>
              </w:rPr>
              <w:t>Years</w:t>
            </w:r>
            <w:r>
              <w:rPr>
                <w:rFonts w:ascii="Times New Roman" w:cs="Times New Roman" w:eastAsia="Times New Roman" w:hAnsi="Times New Roman"/>
                <w:sz w:val="18"/>
                <w:szCs w:val="18"/>
                <w:b w:val="1"/>
                <w:bCs w:val="1"/>
                <w:color w:val="auto"/>
                <w:w w:val="89"/>
                <w:vertAlign w:val="superscript"/>
              </w:rPr>
              <w:t>(3)</w:t>
            </w:r>
          </w:p>
        </w:tc>
        <w:tc>
          <w:tcPr>
            <w:tcW w:w="0" w:type="dxa"/>
            <w:vAlign w:val="bottom"/>
          </w:tcPr>
          <w:p>
            <w:pPr>
              <w:spacing w:after="0"/>
              <w:rPr>
                <w:sz w:val="1"/>
                <w:szCs w:val="1"/>
                <w:color w:val="auto"/>
              </w:rPr>
            </w:pPr>
          </w:p>
        </w:tc>
      </w:tr>
      <w:tr>
        <w:trPr>
          <w:trHeight w:val="176"/>
        </w:trPr>
        <w:tc>
          <w:tcPr>
            <w:tcW w:w="11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Variable rate</w:t>
            </w:r>
          </w:p>
        </w:tc>
        <w:tc>
          <w:tcPr>
            <w:tcW w:w="120" w:type="dxa"/>
            <w:vAlign w:val="bottom"/>
            <w:tcBorders>
              <w:top w:val="single" w:sz="8" w:color="auto"/>
              <w:bottom w:val="single" w:sz="8" w:color="CCEEFF"/>
            </w:tcBorders>
            <w:shd w:val="clear" w:color="auto" w:fill="CCEEFF"/>
          </w:tcPr>
          <w:p>
            <w:pPr>
              <w:spacing w:after="0"/>
              <w:rPr>
                <w:sz w:val="15"/>
                <w:szCs w:val="15"/>
                <w:color w:val="auto"/>
              </w:rPr>
            </w:pPr>
          </w:p>
        </w:tc>
        <w:tc>
          <w:tcPr>
            <w:tcW w:w="760" w:type="dxa"/>
            <w:vAlign w:val="bottom"/>
            <w:tcBorders>
              <w:top w:val="single" w:sz="8" w:color="auto"/>
              <w:bottom w:val="single" w:sz="8" w:color="CCEEFF"/>
            </w:tcBorders>
            <w:shd w:val="clear" w:color="auto" w:fill="CCEEFF"/>
          </w:tcPr>
          <w:p>
            <w:pPr>
              <w:spacing w:after="0"/>
              <w:rPr>
                <w:sz w:val="15"/>
                <w:szCs w:val="15"/>
                <w:color w:val="auto"/>
              </w:rPr>
            </w:pP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120" w:type="dxa"/>
            <w:vAlign w:val="bottom"/>
            <w:tcBorders>
              <w:top w:val="single" w:sz="8" w:color="auto"/>
              <w:bottom w:val="single" w:sz="8" w:color="CCEEFF"/>
            </w:tcBorders>
            <w:shd w:val="clear" w:color="auto" w:fill="CCEEFF"/>
          </w:tcPr>
          <w:p>
            <w:pPr>
              <w:spacing w:after="0"/>
              <w:rPr>
                <w:sz w:val="15"/>
                <w:szCs w:val="15"/>
                <w:color w:val="auto"/>
              </w:rPr>
            </w:pPr>
          </w:p>
        </w:tc>
        <w:tc>
          <w:tcPr>
            <w:tcW w:w="760" w:type="dxa"/>
            <w:vAlign w:val="bottom"/>
            <w:tcBorders>
              <w:top w:val="single" w:sz="8" w:color="auto"/>
              <w:bottom w:val="single" w:sz="8" w:color="CCEEFF"/>
            </w:tcBorders>
            <w:shd w:val="clear" w:color="auto" w:fill="CCEEFF"/>
          </w:tcPr>
          <w:p>
            <w:pPr>
              <w:spacing w:after="0"/>
              <w:rPr>
                <w:sz w:val="15"/>
                <w:szCs w:val="15"/>
                <w:color w:val="auto"/>
              </w:rPr>
            </w:pP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960" w:type="dxa"/>
            <w:vAlign w:val="bottom"/>
            <w:tcBorders>
              <w:top w:val="single" w:sz="8" w:color="auto"/>
              <w:bottom w:val="single" w:sz="8" w:color="CCEEFF"/>
            </w:tcBorders>
            <w:shd w:val="clear" w:color="auto" w:fill="CCEEFF"/>
          </w:tcPr>
          <w:p>
            <w:pPr>
              <w:spacing w:after="0"/>
              <w:rPr>
                <w:sz w:val="15"/>
                <w:szCs w:val="15"/>
                <w:color w:val="auto"/>
              </w:rPr>
            </w:pP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1000" w:type="dxa"/>
            <w:vAlign w:val="bottom"/>
            <w:tcBorders>
              <w:top w:val="single" w:sz="8" w:color="auto"/>
              <w:bottom w:val="single" w:sz="8" w:color="CCEEFF"/>
            </w:tcBorders>
            <w:shd w:val="clear" w:color="auto" w:fill="CCEEFF"/>
          </w:tcPr>
          <w:p>
            <w:pPr>
              <w:spacing w:after="0"/>
              <w:rPr>
                <w:sz w:val="15"/>
                <w:szCs w:val="15"/>
                <w:color w:val="auto"/>
              </w:rPr>
            </w:pPr>
          </w:p>
        </w:tc>
        <w:tc>
          <w:tcPr>
            <w:tcW w:w="300" w:type="dxa"/>
            <w:vAlign w:val="bottom"/>
            <w:tcBorders>
              <w:top w:val="single" w:sz="8" w:color="CCEEFF"/>
              <w:bottom w:val="single" w:sz="8" w:color="CCEEFF"/>
            </w:tcBorders>
            <w:shd w:val="clear" w:color="auto" w:fill="CCEEFF"/>
          </w:tcPr>
          <w:p>
            <w:pPr>
              <w:spacing w:after="0"/>
              <w:rPr>
                <w:sz w:val="15"/>
                <w:szCs w:val="15"/>
                <w:color w:val="auto"/>
              </w:rPr>
            </w:pPr>
          </w:p>
        </w:tc>
        <w:tc>
          <w:tcPr>
            <w:tcW w:w="800" w:type="dxa"/>
            <w:vAlign w:val="bottom"/>
            <w:tcBorders>
              <w:top w:val="single" w:sz="8" w:color="auto"/>
              <w:bottom w:val="single" w:sz="8" w:color="CCEEFF"/>
            </w:tcBorders>
            <w:shd w:val="clear" w:color="auto" w:fill="CCEEFF"/>
          </w:tcPr>
          <w:p>
            <w:pPr>
              <w:spacing w:after="0"/>
              <w:rPr>
                <w:sz w:val="15"/>
                <w:szCs w:val="15"/>
                <w:color w:val="auto"/>
              </w:rPr>
            </w:pP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120" w:type="dxa"/>
            <w:vAlign w:val="bottom"/>
            <w:tcBorders>
              <w:top w:val="single" w:sz="8" w:color="auto"/>
              <w:bottom w:val="single" w:sz="8" w:color="CCEEFF"/>
            </w:tcBorders>
            <w:shd w:val="clear" w:color="auto" w:fill="CCEEFF"/>
          </w:tcPr>
          <w:p>
            <w:pPr>
              <w:spacing w:after="0"/>
              <w:rPr>
                <w:sz w:val="15"/>
                <w:szCs w:val="15"/>
                <w:color w:val="auto"/>
              </w:rPr>
            </w:pPr>
          </w:p>
        </w:tc>
        <w:tc>
          <w:tcPr>
            <w:tcW w:w="780" w:type="dxa"/>
            <w:vAlign w:val="bottom"/>
            <w:tcBorders>
              <w:top w:val="single" w:sz="8" w:color="auto"/>
              <w:bottom w:val="single" w:sz="8" w:color="CCEEFF"/>
            </w:tcBorders>
            <w:shd w:val="clear" w:color="auto" w:fill="CCEEFF"/>
          </w:tcPr>
          <w:p>
            <w:pPr>
              <w:spacing w:after="0"/>
              <w:rPr>
                <w:sz w:val="15"/>
                <w:szCs w:val="15"/>
                <w:color w:val="auto"/>
              </w:rPr>
            </w:pP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120" w:type="dxa"/>
            <w:vAlign w:val="bottom"/>
            <w:tcBorders>
              <w:top w:val="single" w:sz="8" w:color="auto"/>
              <w:bottom w:val="single" w:sz="8" w:color="CCEEFF"/>
            </w:tcBorders>
            <w:shd w:val="clear" w:color="auto" w:fill="CCEEFF"/>
          </w:tcPr>
          <w:p>
            <w:pPr>
              <w:spacing w:after="0"/>
              <w:rPr>
                <w:sz w:val="15"/>
                <w:szCs w:val="15"/>
                <w:color w:val="auto"/>
              </w:rPr>
            </w:pPr>
          </w:p>
        </w:tc>
        <w:tc>
          <w:tcPr>
            <w:tcW w:w="760" w:type="dxa"/>
            <w:vAlign w:val="bottom"/>
            <w:tcBorders>
              <w:top w:val="single" w:sz="8" w:color="auto"/>
              <w:bottom w:val="single" w:sz="8" w:color="CCEEFF"/>
            </w:tcBorders>
            <w:shd w:val="clear" w:color="auto" w:fill="CCEEFF"/>
          </w:tcPr>
          <w:p>
            <w:pPr>
              <w:spacing w:after="0"/>
              <w:rPr>
                <w:sz w:val="15"/>
                <w:szCs w:val="15"/>
                <w:color w:val="auto"/>
              </w:rPr>
            </w:pPr>
          </w:p>
        </w:tc>
        <w:tc>
          <w:tcPr>
            <w:tcW w:w="20" w:type="dxa"/>
            <w:vAlign w:val="bottom"/>
            <w:tcBorders>
              <w:top w:val="single" w:sz="8" w:color="auto"/>
              <w:bottom w:val="single" w:sz="8" w:color="CCEEFF"/>
            </w:tcBorders>
            <w:shd w:val="clear" w:color="auto" w:fill="CCEEFF"/>
          </w:tcPr>
          <w:p>
            <w:pPr>
              <w:spacing w:after="0"/>
              <w:rPr>
                <w:sz w:val="15"/>
                <w:szCs w:val="15"/>
                <w:color w:val="auto"/>
              </w:rPr>
            </w:pP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960" w:type="dxa"/>
            <w:vAlign w:val="bottom"/>
            <w:tcBorders>
              <w:top w:val="single" w:sz="8" w:color="auto"/>
              <w:bottom w:val="single" w:sz="8" w:color="CCEEFF"/>
            </w:tcBorders>
            <w:shd w:val="clear" w:color="auto" w:fill="CCEEFF"/>
          </w:tcPr>
          <w:p>
            <w:pPr>
              <w:spacing w:after="0"/>
              <w:rPr>
                <w:sz w:val="15"/>
                <w:szCs w:val="15"/>
                <w:color w:val="auto"/>
              </w:rPr>
            </w:pP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80" w:type="dxa"/>
            <w:vAlign w:val="bottom"/>
            <w:tcBorders>
              <w:top w:val="single" w:sz="8" w:color="auto"/>
              <w:bottom w:val="single" w:sz="8" w:color="CCEEFF"/>
            </w:tcBorders>
            <w:shd w:val="clear" w:color="auto" w:fill="CCEEFF"/>
          </w:tcPr>
          <w:p>
            <w:pPr>
              <w:spacing w:after="0"/>
              <w:rPr>
                <w:sz w:val="15"/>
                <w:szCs w:val="15"/>
                <w:color w:val="auto"/>
              </w:rPr>
            </w:pPr>
          </w:p>
        </w:tc>
        <w:tc>
          <w:tcPr>
            <w:tcW w:w="920" w:type="dxa"/>
            <w:vAlign w:val="bottom"/>
            <w:tcBorders>
              <w:top w:val="single" w:sz="8" w:color="auto"/>
              <w:bottom w:val="single" w:sz="8" w:color="CCEEFF"/>
            </w:tcBorders>
            <w:shd w:val="clear" w:color="auto" w:fill="CCEEFF"/>
          </w:tcPr>
          <w:p>
            <w:pPr>
              <w:spacing w:after="0"/>
              <w:rPr>
                <w:sz w:val="15"/>
                <w:szCs w:val="15"/>
                <w:color w:val="auto"/>
              </w:rPr>
            </w:pP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840" w:type="dxa"/>
            <w:vAlign w:val="bottom"/>
            <w:tcBorders>
              <w:top w:val="single" w:sz="8" w:color="auto"/>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11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Senior loans</w:t>
            </w: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1,442,147</w:t>
            </w:r>
          </w:p>
        </w:tc>
        <w:tc>
          <w:tcPr>
            <w:tcW w:w="10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1,440,197</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7.1 %</w:t>
            </w:r>
          </w:p>
        </w:tc>
        <w:tc>
          <w:tcPr>
            <w:tcW w:w="80" w:type="dxa"/>
            <w:vAlign w:val="bottom"/>
          </w:tcPr>
          <w:p>
            <w:pPr>
              <w:spacing w:after="0"/>
              <w:rPr>
                <w:sz w:val="16"/>
                <w:szCs w:val="16"/>
                <w:color w:val="auto"/>
              </w:rPr>
            </w:pPr>
          </w:p>
        </w:tc>
        <w:tc>
          <w:tcPr>
            <w:tcW w:w="1000" w:type="dxa"/>
            <w:vAlign w:val="bottom"/>
          </w:tcPr>
          <w:p>
            <w:pPr>
              <w:ind w:left="800"/>
              <w:spacing w:after="0"/>
              <w:rPr>
                <w:sz w:val="20"/>
                <w:szCs w:val="20"/>
                <w:color w:val="auto"/>
              </w:rPr>
            </w:pPr>
            <w:r>
              <w:rPr>
                <w:rFonts w:ascii="Times New Roman" w:cs="Times New Roman" w:eastAsia="Times New Roman" w:hAnsi="Times New Roman"/>
                <w:sz w:val="14"/>
                <w:szCs w:val="14"/>
                <w:color w:val="auto"/>
              </w:rPr>
              <w:t>1.2</w:t>
            </w:r>
          </w:p>
        </w:tc>
        <w:tc>
          <w:tcPr>
            <w:tcW w:w="3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w:t>
            </w:r>
          </w:p>
        </w:tc>
        <w:tc>
          <w:tcPr>
            <w:tcW w:w="10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1,422,235</w:t>
            </w:r>
          </w:p>
        </w:tc>
        <w:tc>
          <w:tcPr>
            <w:tcW w:w="10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1,420,199</w:t>
            </w:r>
          </w:p>
        </w:tc>
        <w:tc>
          <w:tcPr>
            <w:tcW w:w="106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6.9 %</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10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w:t>
            </w:r>
          </w:p>
        </w:tc>
        <w:tc>
          <w:tcPr>
            <w:tcW w:w="0" w:type="dxa"/>
            <w:vAlign w:val="bottom"/>
          </w:tcPr>
          <w:p>
            <w:pPr>
              <w:spacing w:after="0"/>
              <w:rPr>
                <w:sz w:val="1"/>
                <w:szCs w:val="1"/>
                <w:color w:val="auto"/>
              </w:rPr>
            </w:pPr>
          </w:p>
        </w:tc>
      </w:tr>
      <w:tr>
        <w:trPr>
          <w:trHeight w:val="23"/>
        </w:trPr>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9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9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1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Securitized</w:t>
            </w:r>
          </w:p>
        </w:tc>
        <w:tc>
          <w:tcPr>
            <w:tcW w:w="12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1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loans</w:t>
            </w:r>
            <w:r>
              <w:rPr>
                <w:rFonts w:ascii="Times New Roman" w:cs="Times New Roman" w:eastAsia="Times New Roman" w:hAnsi="Times New Roman"/>
                <w:sz w:val="9"/>
                <w:szCs w:val="9"/>
                <w:color w:val="auto"/>
              </w:rPr>
              <w:t>(4)</w:t>
            </w:r>
          </w:p>
        </w:tc>
        <w:tc>
          <w:tcPr>
            <w:tcW w:w="1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1,583,910</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1,578,753</w:t>
            </w:r>
          </w:p>
        </w:tc>
        <w:tc>
          <w:tcPr>
            <w:tcW w:w="10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6.9 %</w:t>
            </w:r>
          </w:p>
        </w:tc>
        <w:tc>
          <w:tcPr>
            <w:tcW w:w="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ind w:left="800"/>
              <w:spacing w:after="0"/>
              <w:rPr>
                <w:sz w:val="20"/>
                <w:szCs w:val="20"/>
                <w:color w:val="auto"/>
              </w:rPr>
            </w:pPr>
            <w:r>
              <w:rPr>
                <w:rFonts w:ascii="Times New Roman" w:cs="Times New Roman" w:eastAsia="Times New Roman" w:hAnsi="Times New Roman"/>
                <w:sz w:val="14"/>
                <w:szCs w:val="14"/>
                <w:color w:val="auto"/>
              </w:rPr>
              <w:t>1.1</w:t>
            </w:r>
          </w:p>
        </w:tc>
        <w:tc>
          <w:tcPr>
            <w:tcW w:w="3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1,172,999</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1,173,495</w:t>
            </w:r>
          </w:p>
        </w:tc>
        <w:tc>
          <w:tcPr>
            <w:tcW w:w="106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7.0 %</w:t>
            </w:r>
          </w:p>
        </w:tc>
        <w:tc>
          <w:tcPr>
            <w:tcW w:w="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0.7</w:t>
            </w:r>
          </w:p>
        </w:tc>
        <w:tc>
          <w:tcPr>
            <w:tcW w:w="1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0" w:type="dxa"/>
            <w:vAlign w:val="bottom"/>
          </w:tcPr>
          <w:p>
            <w:pPr>
              <w:spacing w:after="0"/>
              <w:rPr>
                <w:sz w:val="1"/>
                <w:szCs w:val="1"/>
                <w:color w:val="auto"/>
              </w:rPr>
            </w:pPr>
          </w:p>
        </w:tc>
      </w:tr>
      <w:tr>
        <w:trPr>
          <w:trHeight w:val="186"/>
        </w:trPr>
        <w:tc>
          <w:tcPr>
            <w:tcW w:w="110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3,026,057</w:t>
            </w:r>
          </w:p>
        </w:tc>
        <w:tc>
          <w:tcPr>
            <w:tcW w:w="10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760" w:type="dxa"/>
            <w:vAlign w:val="bottom"/>
            <w:tcBorders>
              <w:top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3,018,950</w:t>
            </w:r>
          </w:p>
        </w:tc>
        <w:tc>
          <w:tcPr>
            <w:tcW w:w="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2,595,234</w:t>
            </w:r>
          </w:p>
        </w:tc>
        <w:tc>
          <w:tcPr>
            <w:tcW w:w="10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2,593,694</w:t>
            </w:r>
          </w:p>
        </w:tc>
        <w:tc>
          <w:tcPr>
            <w:tcW w:w="2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1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96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0" w:type="dxa"/>
            <w:vAlign w:val="bottom"/>
            <w:tcBorders>
              <w:bottom w:val="single" w:sz="8" w:color="CCEEFF"/>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8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96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9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176"/>
        </w:trPr>
        <w:tc>
          <w:tcPr>
            <w:tcW w:w="1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Fixed rate</w:t>
            </w:r>
          </w:p>
        </w:tc>
        <w:tc>
          <w:tcPr>
            <w:tcW w:w="120" w:type="dxa"/>
            <w:vAlign w:val="bottom"/>
            <w:tcBorders>
              <w:bottom w:val="single" w:sz="8" w:color="CCEEFF"/>
            </w:tcBorders>
            <w:shd w:val="clear" w:color="auto" w:fill="CCEEFF"/>
          </w:tcPr>
          <w:p>
            <w:pPr>
              <w:spacing w:after="0"/>
              <w:rPr>
                <w:sz w:val="15"/>
                <w:szCs w:val="15"/>
                <w:color w:val="auto"/>
              </w:rPr>
            </w:pPr>
          </w:p>
        </w:tc>
        <w:tc>
          <w:tcPr>
            <w:tcW w:w="76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76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96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00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CCEEFF"/>
            </w:tcBorders>
            <w:shd w:val="clear" w:color="auto" w:fill="CCEEFF"/>
          </w:tcPr>
          <w:p>
            <w:pPr>
              <w:spacing w:after="0"/>
              <w:rPr>
                <w:sz w:val="15"/>
                <w:szCs w:val="15"/>
                <w:color w:val="auto"/>
              </w:rPr>
            </w:pPr>
          </w:p>
        </w:tc>
        <w:tc>
          <w:tcPr>
            <w:tcW w:w="8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76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96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9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84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11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Senior loans</w:t>
            </w: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28,781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28,781</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20.0 %</w:t>
            </w:r>
          </w:p>
        </w:tc>
        <w:tc>
          <w:tcPr>
            <w:tcW w:w="80" w:type="dxa"/>
            <w:vAlign w:val="bottom"/>
          </w:tcPr>
          <w:p>
            <w:pPr>
              <w:spacing w:after="0"/>
              <w:rPr>
                <w:sz w:val="18"/>
                <w:szCs w:val="18"/>
                <w:color w:val="auto"/>
              </w:rPr>
            </w:pPr>
          </w:p>
        </w:tc>
        <w:tc>
          <w:tcPr>
            <w:tcW w:w="1300" w:type="dxa"/>
            <w:vAlign w:val="bottom"/>
            <w:gridSpan w:val="2"/>
          </w:tcPr>
          <w:p>
            <w:pPr>
              <w:ind w:left="800"/>
              <w:spacing w:after="0" w:line="216" w:lineRule="exact"/>
              <w:rPr>
                <w:sz w:val="20"/>
                <w:szCs w:val="20"/>
                <w:color w:val="auto"/>
              </w:rPr>
            </w:pPr>
            <w:r>
              <w:rPr>
                <w:rFonts w:ascii="Times New Roman" w:cs="Times New Roman" w:eastAsia="Times New Roman" w:hAnsi="Times New Roman"/>
                <w:sz w:val="14"/>
                <w:szCs w:val="14"/>
                <w:color w:val="auto"/>
              </w:rPr>
              <w:t xml:space="preserve">0.0 </w:t>
            </w:r>
            <w:r>
              <w:rPr>
                <w:rFonts w:ascii="Times New Roman" w:cs="Times New Roman" w:eastAsia="Times New Roman" w:hAnsi="Times New Roman"/>
                <w:sz w:val="21"/>
                <w:szCs w:val="21"/>
                <w:color w:val="auto"/>
                <w:vertAlign w:val="superscript"/>
              </w:rPr>
              <w:t>(5)</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24,139</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24,139</w:t>
            </w:r>
          </w:p>
        </w:tc>
        <w:tc>
          <w:tcPr>
            <w:tcW w:w="106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20.0 %</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0.1</w:t>
            </w: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0.4</w:t>
            </w:r>
          </w:p>
        </w:tc>
        <w:tc>
          <w:tcPr>
            <w:tcW w:w="0" w:type="dxa"/>
            <w:vAlign w:val="bottom"/>
          </w:tcPr>
          <w:p>
            <w:pPr>
              <w:spacing w:after="0"/>
              <w:rPr>
                <w:sz w:val="1"/>
                <w:szCs w:val="1"/>
                <w:color w:val="auto"/>
              </w:rPr>
            </w:pPr>
          </w:p>
        </w:tc>
      </w:tr>
      <w:tr>
        <w:trPr>
          <w:trHeight w:val="153"/>
        </w:trPr>
        <w:tc>
          <w:tcPr>
            <w:tcW w:w="1100" w:type="dxa"/>
            <w:vAlign w:val="bottom"/>
            <w:shd w:val="clear" w:color="auto" w:fill="CCEEFF"/>
          </w:tcPr>
          <w:p>
            <w:pPr>
              <w:ind w:left="20"/>
              <w:spacing w:after="0" w:line="153" w:lineRule="exact"/>
              <w:rPr>
                <w:sz w:val="20"/>
                <w:szCs w:val="20"/>
                <w:color w:val="auto"/>
              </w:rPr>
            </w:pPr>
            <w:r>
              <w:rPr>
                <w:rFonts w:ascii="Times New Roman" w:cs="Times New Roman" w:eastAsia="Times New Roman" w:hAnsi="Times New Roman"/>
                <w:sz w:val="14"/>
                <w:szCs w:val="14"/>
                <w:color w:val="auto"/>
              </w:rPr>
              <w:t>Mezzanine</w:t>
            </w:r>
          </w:p>
        </w:tc>
        <w:tc>
          <w:tcPr>
            <w:tcW w:w="120" w:type="dxa"/>
            <w:vAlign w:val="bottom"/>
            <w:shd w:val="clear" w:color="auto" w:fill="CCEEFF"/>
          </w:tcPr>
          <w:p>
            <w:pPr>
              <w:spacing w:after="0"/>
              <w:rPr>
                <w:sz w:val="13"/>
                <w:szCs w:val="13"/>
                <w:color w:val="auto"/>
              </w:rPr>
            </w:pP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15,105</w:t>
            </w: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60" w:type="dxa"/>
            <w:vAlign w:val="bottom"/>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15,105</w:t>
            </w:r>
          </w:p>
        </w:tc>
        <w:tc>
          <w:tcPr>
            <w:tcW w:w="80" w:type="dxa"/>
            <w:vAlign w:val="bottom"/>
            <w:shd w:val="clear" w:color="auto" w:fill="CCEEFF"/>
          </w:tcPr>
          <w:p>
            <w:pPr>
              <w:spacing w:after="0"/>
              <w:rPr>
                <w:sz w:val="13"/>
                <w:szCs w:val="13"/>
                <w:color w:val="auto"/>
              </w:rPr>
            </w:pPr>
          </w:p>
        </w:tc>
        <w:tc>
          <w:tcPr>
            <w:tcW w:w="104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 %</w:t>
            </w:r>
          </w:p>
        </w:tc>
        <w:tc>
          <w:tcPr>
            <w:tcW w:w="1000" w:type="dxa"/>
            <w:vAlign w:val="bottom"/>
            <w:vMerge w:val="restart"/>
            <w:shd w:val="clear" w:color="auto" w:fill="CCEEFF"/>
          </w:tcPr>
          <w:p>
            <w:pPr>
              <w:ind w:left="800"/>
              <w:spacing w:after="0"/>
              <w:rPr>
                <w:sz w:val="20"/>
                <w:szCs w:val="20"/>
                <w:color w:val="auto"/>
              </w:rPr>
            </w:pPr>
            <w:r>
              <w:rPr>
                <w:rFonts w:ascii="Times New Roman" w:cs="Times New Roman" w:eastAsia="Times New Roman" w:hAnsi="Times New Roman"/>
                <w:sz w:val="14"/>
                <w:szCs w:val="14"/>
                <w:color w:val="auto"/>
              </w:rPr>
              <w:t>0.4</w:t>
            </w:r>
          </w:p>
        </w:tc>
        <w:tc>
          <w:tcPr>
            <w:tcW w:w="300" w:type="dxa"/>
            <w:vAlign w:val="bottom"/>
            <w:shd w:val="clear" w:color="auto" w:fill="CCEEFF"/>
          </w:tcPr>
          <w:p>
            <w:pPr>
              <w:spacing w:after="0"/>
              <w:rPr>
                <w:sz w:val="13"/>
                <w:szCs w:val="13"/>
                <w:color w:val="auto"/>
              </w:rPr>
            </w:pP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0.4</w:t>
            </w: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49,069</w:t>
            </w: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49,069</w:t>
            </w:r>
          </w:p>
        </w:tc>
        <w:tc>
          <w:tcPr>
            <w:tcW w:w="1060" w:type="dxa"/>
            <w:vAlign w:val="bottom"/>
            <w:gridSpan w:val="3"/>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8.4 %</w:t>
            </w: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0.1</w:t>
            </w:r>
          </w:p>
        </w:tc>
        <w:tc>
          <w:tcPr>
            <w:tcW w:w="100" w:type="dxa"/>
            <w:vAlign w:val="bottom"/>
            <w:shd w:val="clear" w:color="auto" w:fill="CCEEFF"/>
          </w:tcPr>
          <w:p>
            <w:pPr>
              <w:spacing w:after="0"/>
              <w:rPr>
                <w:sz w:val="13"/>
                <w:szCs w:val="13"/>
                <w:color w:val="auto"/>
              </w:rPr>
            </w:pPr>
          </w:p>
        </w:tc>
        <w:tc>
          <w:tcPr>
            <w:tcW w:w="8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0" w:type="dxa"/>
            <w:vAlign w:val="bottom"/>
          </w:tcPr>
          <w:p>
            <w:pPr>
              <w:spacing w:after="0"/>
              <w:rPr>
                <w:sz w:val="1"/>
                <w:szCs w:val="1"/>
                <w:color w:val="auto"/>
              </w:rPr>
            </w:pPr>
          </w:p>
        </w:tc>
      </w:tr>
      <w:tr>
        <w:trPr>
          <w:trHeight w:val="198"/>
        </w:trPr>
        <w:tc>
          <w:tcPr>
            <w:tcW w:w="1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loans</w:t>
            </w:r>
          </w:p>
        </w:tc>
        <w:tc>
          <w:tcPr>
            <w:tcW w:w="120" w:type="dxa"/>
            <w:vAlign w:val="bottom"/>
            <w:shd w:val="clear" w:color="auto" w:fill="CCEEFF"/>
          </w:tcPr>
          <w:p>
            <w:pPr>
              <w:spacing w:after="0"/>
              <w:rPr>
                <w:sz w:val="17"/>
                <w:szCs w:val="17"/>
                <w:color w:val="auto"/>
              </w:rPr>
            </w:pPr>
          </w:p>
        </w:tc>
        <w:tc>
          <w:tcPr>
            <w:tcW w:w="76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40" w:type="dxa"/>
            <w:vAlign w:val="bottom"/>
            <w:gridSpan w:val="2"/>
            <w:vMerge w:val="continue"/>
            <w:shd w:val="clear" w:color="auto" w:fill="CCEEFF"/>
          </w:tcPr>
          <w:p>
            <w:pPr>
              <w:spacing w:after="0"/>
              <w:rPr>
                <w:sz w:val="17"/>
                <w:szCs w:val="17"/>
                <w:color w:val="auto"/>
              </w:rPr>
            </w:pPr>
          </w:p>
        </w:tc>
        <w:tc>
          <w:tcPr>
            <w:tcW w:w="1000" w:type="dxa"/>
            <w:vAlign w:val="bottom"/>
            <w:vMerge w:val="continue"/>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0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vMerge w:val="continue"/>
            <w:shd w:val="clear" w:color="auto" w:fill="CCEEFF"/>
          </w:tcPr>
          <w:p>
            <w:pPr>
              <w:spacing w:after="0"/>
              <w:rPr>
                <w:sz w:val="17"/>
                <w:szCs w:val="17"/>
                <w:color w:val="auto"/>
              </w:rPr>
            </w:pPr>
          </w:p>
        </w:tc>
        <w:tc>
          <w:tcPr>
            <w:tcW w:w="1060" w:type="dxa"/>
            <w:vAlign w:val="bottom"/>
            <w:gridSpan w:val="3"/>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2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53"/>
        </w:trPr>
        <w:tc>
          <w:tcPr>
            <w:tcW w:w="1100" w:type="dxa"/>
            <w:vAlign w:val="bottom"/>
          </w:tcPr>
          <w:p>
            <w:pPr>
              <w:ind w:left="20"/>
              <w:spacing w:after="0" w:line="153" w:lineRule="exact"/>
              <w:rPr>
                <w:sz w:val="20"/>
                <w:szCs w:val="20"/>
                <w:color w:val="auto"/>
              </w:rPr>
            </w:pPr>
            <w:r>
              <w:rPr>
                <w:rFonts w:ascii="Times New Roman" w:cs="Times New Roman" w:eastAsia="Times New Roman" w:hAnsi="Times New Roman"/>
                <w:sz w:val="14"/>
                <w:szCs w:val="14"/>
                <w:color w:val="auto"/>
              </w:rPr>
              <w:t>Preferred equity</w:t>
            </w:r>
          </w:p>
        </w:tc>
        <w:tc>
          <w:tcPr>
            <w:tcW w:w="120" w:type="dxa"/>
            <w:vAlign w:val="bottom"/>
          </w:tcPr>
          <w:p>
            <w:pPr>
              <w:spacing w:after="0"/>
              <w:rPr>
                <w:sz w:val="13"/>
                <w:szCs w:val="13"/>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19,488</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19,488</w:t>
            </w:r>
          </w:p>
        </w:tc>
        <w:tc>
          <w:tcPr>
            <w:tcW w:w="10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14.3 %</w:t>
            </w:r>
          </w:p>
        </w:tc>
        <w:tc>
          <w:tcPr>
            <w:tcW w:w="80" w:type="dxa"/>
            <w:vAlign w:val="bottom"/>
          </w:tcPr>
          <w:p>
            <w:pPr>
              <w:spacing w:after="0"/>
              <w:rPr>
                <w:sz w:val="13"/>
                <w:szCs w:val="13"/>
                <w:color w:val="auto"/>
              </w:rPr>
            </w:pPr>
          </w:p>
        </w:tc>
        <w:tc>
          <w:tcPr>
            <w:tcW w:w="1000" w:type="dxa"/>
            <w:vAlign w:val="bottom"/>
            <w:vMerge w:val="restart"/>
          </w:tcPr>
          <w:p>
            <w:pPr>
              <w:ind w:left="800"/>
              <w:spacing w:after="0"/>
              <w:rPr>
                <w:sz w:val="20"/>
                <w:szCs w:val="20"/>
                <w:color w:val="auto"/>
              </w:rPr>
            </w:pPr>
            <w:r>
              <w:rPr>
                <w:rFonts w:ascii="Times New Roman" w:cs="Times New Roman" w:eastAsia="Times New Roman" w:hAnsi="Times New Roman"/>
                <w:sz w:val="14"/>
                <w:szCs w:val="14"/>
                <w:color w:val="auto"/>
              </w:rPr>
              <w:t>0.3</w:t>
            </w:r>
          </w:p>
        </w:tc>
        <w:tc>
          <w:tcPr>
            <w:tcW w:w="300" w:type="dxa"/>
            <w:vAlign w:val="bottom"/>
          </w:tcPr>
          <w:p>
            <w:pPr>
              <w:spacing w:after="0"/>
              <w:rPr>
                <w:sz w:val="13"/>
                <w:szCs w:val="13"/>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0.4</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11,467</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11,413</w:t>
            </w:r>
          </w:p>
        </w:tc>
        <w:tc>
          <w:tcPr>
            <w:tcW w:w="1060" w:type="dxa"/>
            <w:vAlign w:val="bottom"/>
            <w:gridSpan w:val="3"/>
            <w:vMerge w:val="restart"/>
          </w:tcPr>
          <w:p>
            <w:pPr>
              <w:jc w:val="right"/>
              <w:spacing w:after="0"/>
              <w:rPr>
                <w:sz w:val="20"/>
                <w:szCs w:val="20"/>
                <w:color w:val="auto"/>
              </w:rPr>
            </w:pPr>
            <w:r>
              <w:rPr>
                <w:rFonts w:ascii="Times New Roman" w:cs="Times New Roman" w:eastAsia="Times New Roman" w:hAnsi="Times New Roman"/>
                <w:sz w:val="14"/>
                <w:szCs w:val="14"/>
                <w:color w:val="auto"/>
              </w:rPr>
              <w:t>14.3 %</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0.4</w:t>
            </w:r>
          </w:p>
        </w:tc>
        <w:tc>
          <w:tcPr>
            <w:tcW w:w="100" w:type="dxa"/>
            <w:vAlign w:val="bottom"/>
          </w:tcPr>
          <w:p>
            <w:pPr>
              <w:spacing w:after="0"/>
              <w:rPr>
                <w:sz w:val="13"/>
                <w:szCs w:val="13"/>
                <w:color w:val="auto"/>
              </w:rPr>
            </w:pP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0" w:type="dxa"/>
            <w:vAlign w:val="bottom"/>
          </w:tcPr>
          <w:p>
            <w:pPr>
              <w:spacing w:after="0"/>
              <w:rPr>
                <w:sz w:val="1"/>
                <w:szCs w:val="1"/>
                <w:color w:val="auto"/>
              </w:rPr>
            </w:pPr>
          </w:p>
        </w:tc>
      </w:tr>
      <w:tr>
        <w:trPr>
          <w:trHeight w:val="193"/>
        </w:trPr>
        <w:tc>
          <w:tcPr>
            <w:tcW w:w="11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interests</w:t>
            </w:r>
          </w:p>
        </w:tc>
        <w:tc>
          <w:tcPr>
            <w:tcW w:w="12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104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1000" w:type="dxa"/>
            <w:vAlign w:val="bottom"/>
            <w:vMerge w:val="continue"/>
          </w:tcPr>
          <w:p>
            <w:pPr>
              <w:spacing w:after="0"/>
              <w:rPr>
                <w:sz w:val="16"/>
                <w:szCs w:val="16"/>
                <w:color w:val="auto"/>
              </w:rPr>
            </w:pPr>
          </w:p>
        </w:tc>
        <w:tc>
          <w:tcPr>
            <w:tcW w:w="300" w:type="dxa"/>
            <w:vAlign w:val="bottom"/>
          </w:tcPr>
          <w:p>
            <w:pPr>
              <w:spacing w:after="0"/>
              <w:rPr>
                <w:sz w:val="16"/>
                <w:szCs w:val="16"/>
                <w:color w:val="auto"/>
              </w:rPr>
            </w:pPr>
          </w:p>
        </w:tc>
        <w:tc>
          <w:tcPr>
            <w:tcW w:w="8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1060" w:type="dxa"/>
            <w:vAlign w:val="bottom"/>
            <w:gridSpan w:val="3"/>
            <w:vMerge w:val="continue"/>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110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CCEEFF"/>
            </w:tcBorders>
            <w:shd w:val="clear" w:color="auto" w:fill="CCEEFF"/>
          </w:tcPr>
          <w:p>
            <w:pPr>
              <w:spacing w:after="0"/>
              <w:rPr>
                <w:sz w:val="18"/>
                <w:szCs w:val="18"/>
                <w:color w:val="auto"/>
              </w:rPr>
            </w:pPr>
          </w:p>
        </w:tc>
        <w:tc>
          <w:tcPr>
            <w:tcW w:w="7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63,374</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CCEEFF"/>
            </w:tcBorders>
            <w:shd w:val="clear" w:color="auto" w:fill="CCEEFF"/>
          </w:tcPr>
          <w:p>
            <w:pPr>
              <w:spacing w:after="0"/>
              <w:rPr>
                <w:sz w:val="18"/>
                <w:szCs w:val="18"/>
                <w:color w:val="auto"/>
              </w:rPr>
            </w:pPr>
          </w:p>
        </w:tc>
        <w:tc>
          <w:tcPr>
            <w:tcW w:w="760" w:type="dxa"/>
            <w:vAlign w:val="bottom"/>
            <w:tcBorders>
              <w:top w:val="single" w:sz="8" w:color="auto"/>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63,374</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96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000" w:type="dxa"/>
            <w:vAlign w:val="bottom"/>
            <w:tcBorders>
              <w:top w:val="single" w:sz="8" w:color="CCEEFF"/>
              <w:bottom w:val="single" w:sz="8" w:color="CCEEFF"/>
            </w:tcBorders>
            <w:shd w:val="clear" w:color="auto" w:fill="CCEEFF"/>
          </w:tcPr>
          <w:p>
            <w:pPr>
              <w:spacing w:after="0"/>
              <w:rPr>
                <w:sz w:val="18"/>
                <w:szCs w:val="18"/>
                <w:color w:val="auto"/>
              </w:rPr>
            </w:pPr>
          </w:p>
        </w:tc>
        <w:tc>
          <w:tcPr>
            <w:tcW w:w="300" w:type="dxa"/>
            <w:vAlign w:val="bottom"/>
            <w:tcBorders>
              <w:top w:val="single" w:sz="8" w:color="CCEEFF"/>
              <w:bottom w:val="single" w:sz="8" w:color="CCEEFF"/>
            </w:tcBorders>
            <w:shd w:val="clear" w:color="auto" w:fill="CCEEFF"/>
          </w:tcPr>
          <w:p>
            <w:pPr>
              <w:spacing w:after="0"/>
              <w:rPr>
                <w:sz w:val="18"/>
                <w:szCs w:val="18"/>
                <w:color w:val="auto"/>
              </w:rPr>
            </w:pPr>
          </w:p>
        </w:tc>
        <w:tc>
          <w:tcPr>
            <w:tcW w:w="80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CCEEFF"/>
            </w:tcBorders>
            <w:shd w:val="clear" w:color="auto" w:fill="CCEEFF"/>
          </w:tcPr>
          <w:p>
            <w:pPr>
              <w:spacing w:after="0"/>
              <w:rPr>
                <w:sz w:val="18"/>
                <w:szCs w:val="18"/>
                <w:color w:val="auto"/>
              </w:rPr>
            </w:pPr>
          </w:p>
        </w:tc>
        <w:tc>
          <w:tcPr>
            <w:tcW w:w="7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84,675</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CCEEFF"/>
            </w:tcBorders>
            <w:shd w:val="clear" w:color="auto" w:fill="CCEEFF"/>
          </w:tcPr>
          <w:p>
            <w:pPr>
              <w:spacing w:after="0"/>
              <w:rPr>
                <w:sz w:val="18"/>
                <w:szCs w:val="18"/>
                <w:color w:val="auto"/>
              </w:rPr>
            </w:pPr>
          </w:p>
        </w:tc>
        <w:tc>
          <w:tcPr>
            <w:tcW w:w="7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84,621</w:t>
            </w:r>
          </w:p>
        </w:tc>
        <w:tc>
          <w:tcPr>
            <w:tcW w:w="20" w:type="dxa"/>
            <w:vAlign w:val="bottom"/>
            <w:tcBorders>
              <w:top w:val="single" w:sz="8" w:color="auto"/>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96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92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84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3"/>
        </w:trPr>
        <w:tc>
          <w:tcPr>
            <w:tcW w:w="1100" w:type="dxa"/>
            <w:vAlign w:val="bottom"/>
          </w:tcPr>
          <w:p>
            <w:pPr>
              <w:ind w:left="20"/>
              <w:spacing w:after="0" w:line="133" w:lineRule="exact"/>
              <w:rPr>
                <w:sz w:val="20"/>
                <w:szCs w:val="20"/>
                <w:color w:val="auto"/>
              </w:rPr>
            </w:pPr>
            <w:r>
              <w:rPr>
                <w:rFonts w:ascii="Times New Roman" w:cs="Times New Roman" w:eastAsia="Times New Roman" w:hAnsi="Times New Roman"/>
                <w:sz w:val="14"/>
                <w:szCs w:val="14"/>
                <w:color w:val="auto"/>
              </w:rPr>
              <w:t>Loans and</w:t>
            </w:r>
          </w:p>
        </w:tc>
        <w:tc>
          <w:tcPr>
            <w:tcW w:w="120" w:type="dxa"/>
            <w:vAlign w:val="bottom"/>
            <w:tcBorders>
              <w:top w:val="single" w:sz="8" w:color="auto"/>
            </w:tcBorders>
          </w:tcPr>
          <w:p>
            <w:pPr>
              <w:spacing w:after="0"/>
              <w:rPr>
                <w:sz w:val="11"/>
                <w:szCs w:val="11"/>
                <w:color w:val="auto"/>
              </w:rPr>
            </w:pPr>
          </w:p>
        </w:tc>
        <w:tc>
          <w:tcPr>
            <w:tcW w:w="76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76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78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760" w:type="dxa"/>
            <w:vAlign w:val="bottom"/>
            <w:tcBorders>
              <w:top w:val="single" w:sz="8" w:color="auto"/>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1100" w:type="dxa"/>
            <w:vAlign w:val="bottom"/>
          </w:tcPr>
          <w:p>
            <w:pPr>
              <w:ind w:left="20"/>
              <w:spacing w:after="0" w:line="145" w:lineRule="exact"/>
              <w:rPr>
                <w:sz w:val="20"/>
                <w:szCs w:val="20"/>
                <w:color w:val="auto"/>
              </w:rPr>
            </w:pPr>
            <w:r>
              <w:rPr>
                <w:rFonts w:ascii="Times New Roman" w:cs="Times New Roman" w:eastAsia="Times New Roman" w:hAnsi="Times New Roman"/>
                <w:sz w:val="14"/>
                <w:szCs w:val="14"/>
                <w:color w:val="auto"/>
              </w:rPr>
              <w:t>preferred equity</w:t>
            </w: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1100" w:type="dxa"/>
            <w:vAlign w:val="bottom"/>
          </w:tcPr>
          <w:p>
            <w:pPr>
              <w:ind w:left="20"/>
              <w:spacing w:after="0" w:line="139" w:lineRule="exact"/>
              <w:rPr>
                <w:sz w:val="20"/>
                <w:szCs w:val="20"/>
                <w:color w:val="auto"/>
              </w:rPr>
            </w:pPr>
            <w:r>
              <w:rPr>
                <w:rFonts w:ascii="Times New Roman" w:cs="Times New Roman" w:eastAsia="Times New Roman" w:hAnsi="Times New Roman"/>
                <w:sz w:val="14"/>
                <w:szCs w:val="14"/>
                <w:color w:val="auto"/>
              </w:rPr>
              <w:t>held for</w:t>
            </w:r>
          </w:p>
        </w:tc>
        <w:tc>
          <w:tcPr>
            <w:tcW w:w="120" w:type="dxa"/>
            <w:vAlign w:val="bottom"/>
          </w:tcPr>
          <w:p>
            <w:pPr>
              <w:spacing w:after="0"/>
              <w:rPr>
                <w:sz w:val="12"/>
                <w:szCs w:val="12"/>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3,089,431</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3,082,324</w:t>
            </w:r>
          </w:p>
        </w:tc>
        <w:tc>
          <w:tcPr>
            <w:tcW w:w="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2,679,909</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2,678,315</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11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investment</w:t>
            </w:r>
          </w:p>
        </w:tc>
        <w:tc>
          <w:tcPr>
            <w:tcW w:w="12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9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9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1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7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76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0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8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7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76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9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84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193"/>
        </w:trPr>
        <w:tc>
          <w:tcPr>
            <w:tcW w:w="11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CECL reserve</w:t>
            </w:r>
          </w:p>
        </w:tc>
        <w:tc>
          <w:tcPr>
            <w:tcW w:w="120" w:type="dxa"/>
            <w:vAlign w:val="bottom"/>
          </w:tcPr>
          <w:p>
            <w:pPr>
              <w:spacing w:after="0"/>
              <w:rPr>
                <w:sz w:val="16"/>
                <w:szCs w:val="16"/>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(106,317)</w:t>
            </w:r>
          </w:p>
        </w:tc>
        <w:tc>
          <w:tcPr>
            <w:tcW w:w="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(87,401)</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1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96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0" w:type="dxa"/>
            <w:vAlign w:val="bottom"/>
            <w:tcBorders>
              <w:bottom w:val="single" w:sz="8" w:color="CCEEFF"/>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8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96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9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1100" w:type="dxa"/>
            <w:vAlign w:val="bottom"/>
            <w:shd w:val="clear" w:color="auto" w:fill="CCEEFF"/>
          </w:tcPr>
          <w:p>
            <w:pPr>
              <w:ind w:left="20"/>
              <w:spacing w:after="0" w:line="131" w:lineRule="exact"/>
              <w:rPr>
                <w:sz w:val="20"/>
                <w:szCs w:val="20"/>
                <w:color w:val="auto"/>
              </w:rPr>
            </w:pPr>
            <w:r>
              <w:rPr>
                <w:rFonts w:ascii="Times New Roman" w:cs="Times New Roman" w:eastAsia="Times New Roman" w:hAnsi="Times New Roman"/>
                <w:sz w:val="14"/>
                <w:szCs w:val="14"/>
                <w:b w:val="1"/>
                <w:bCs w:val="1"/>
                <w:color w:val="auto"/>
              </w:rPr>
              <w:t>Loans and</w:t>
            </w:r>
          </w:p>
        </w:tc>
        <w:tc>
          <w:tcPr>
            <w:tcW w:w="12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6"/>
        </w:trPr>
        <w:tc>
          <w:tcPr>
            <w:tcW w:w="1100" w:type="dxa"/>
            <w:vAlign w:val="bottom"/>
            <w:shd w:val="clear" w:color="auto" w:fill="CCEEFF"/>
          </w:tcPr>
          <w:p>
            <w:pPr>
              <w:ind w:left="20"/>
              <w:spacing w:after="0" w:line="146" w:lineRule="exact"/>
              <w:rPr>
                <w:sz w:val="20"/>
                <w:szCs w:val="20"/>
                <w:color w:val="auto"/>
              </w:rPr>
            </w:pPr>
            <w:r>
              <w:rPr>
                <w:rFonts w:ascii="Times New Roman" w:cs="Times New Roman" w:eastAsia="Times New Roman" w:hAnsi="Times New Roman"/>
                <w:sz w:val="14"/>
                <w:szCs w:val="14"/>
                <w:b w:val="1"/>
                <w:bCs w:val="1"/>
                <w:color w:val="auto"/>
              </w:rPr>
              <w:t>preferred</w:t>
            </w: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7"/>
        </w:trPr>
        <w:tc>
          <w:tcPr>
            <w:tcW w:w="1100" w:type="dxa"/>
            <w:vAlign w:val="bottom"/>
            <w:shd w:val="clear" w:color="auto" w:fill="CCEEFF"/>
          </w:tcPr>
          <w:p>
            <w:pPr>
              <w:ind w:left="20"/>
              <w:spacing w:after="0" w:line="137" w:lineRule="exact"/>
              <w:rPr>
                <w:sz w:val="20"/>
                <w:szCs w:val="20"/>
                <w:color w:val="auto"/>
              </w:rPr>
            </w:pPr>
            <w:r>
              <w:rPr>
                <w:rFonts w:ascii="Times New Roman" w:cs="Times New Roman" w:eastAsia="Times New Roman" w:hAnsi="Times New Roman"/>
                <w:sz w:val="14"/>
                <w:szCs w:val="14"/>
                <w:b w:val="1"/>
                <w:bCs w:val="1"/>
                <w:color w:val="auto"/>
              </w:rPr>
              <w:t>equity held for</w:t>
            </w:r>
          </w:p>
        </w:tc>
        <w:tc>
          <w:tcPr>
            <w:tcW w:w="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3,089,431</w:t>
            </w:r>
          </w:p>
        </w:tc>
        <w:tc>
          <w:tcPr>
            <w:tcW w:w="100" w:type="dxa"/>
            <w:vAlign w:val="bottom"/>
            <w:shd w:val="clear" w:color="auto" w:fill="CCEEFF"/>
          </w:tcPr>
          <w:p>
            <w:pPr>
              <w:spacing w:after="0"/>
              <w:rPr>
                <w:sz w:val="11"/>
                <w:szCs w:val="11"/>
                <w:color w:val="auto"/>
              </w:rPr>
            </w:pPr>
          </w:p>
        </w:tc>
        <w:tc>
          <w:tcPr>
            <w:tcW w:w="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2,976,007</w:t>
            </w:r>
          </w:p>
        </w:tc>
        <w:tc>
          <w:tcPr>
            <w:tcW w:w="104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7.1 %</w:t>
            </w:r>
          </w:p>
        </w:tc>
        <w:tc>
          <w:tcPr>
            <w:tcW w:w="80" w:type="dxa"/>
            <w:vAlign w:val="bottom"/>
            <w:shd w:val="clear" w:color="auto" w:fill="CCEEFF"/>
          </w:tcPr>
          <w:p>
            <w:pPr>
              <w:spacing w:after="0"/>
              <w:rPr>
                <w:sz w:val="11"/>
                <w:szCs w:val="11"/>
                <w:color w:val="auto"/>
              </w:rPr>
            </w:pPr>
          </w:p>
        </w:tc>
        <w:tc>
          <w:tcPr>
            <w:tcW w:w="1000" w:type="dxa"/>
            <w:vAlign w:val="bottom"/>
            <w:vMerge w:val="restart"/>
            <w:shd w:val="clear" w:color="auto" w:fill="CCEEFF"/>
          </w:tcPr>
          <w:p>
            <w:pPr>
              <w:ind w:left="800"/>
              <w:spacing w:after="0"/>
              <w:rPr>
                <w:sz w:val="20"/>
                <w:szCs w:val="20"/>
                <w:color w:val="auto"/>
              </w:rPr>
            </w:pPr>
            <w:r>
              <w:rPr>
                <w:rFonts w:ascii="Times New Roman" w:cs="Times New Roman" w:eastAsia="Times New Roman" w:hAnsi="Times New Roman"/>
                <w:sz w:val="14"/>
                <w:szCs w:val="14"/>
                <w:color w:val="auto"/>
              </w:rPr>
              <w:t>1.1</w:t>
            </w:r>
          </w:p>
        </w:tc>
        <w:tc>
          <w:tcPr>
            <w:tcW w:w="300" w:type="dxa"/>
            <w:vAlign w:val="bottom"/>
            <w:shd w:val="clear" w:color="auto" w:fill="CCEEFF"/>
          </w:tcPr>
          <w:p>
            <w:pPr>
              <w:spacing w:after="0"/>
              <w:rPr>
                <w:sz w:val="11"/>
                <w:szCs w:val="11"/>
                <w:color w:val="auto"/>
              </w:rPr>
            </w:pP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w:t>
            </w:r>
          </w:p>
        </w:tc>
        <w:tc>
          <w:tcPr>
            <w:tcW w:w="100" w:type="dxa"/>
            <w:vAlign w:val="bottom"/>
            <w:shd w:val="clear" w:color="auto" w:fill="CCEEFF"/>
          </w:tcPr>
          <w:p>
            <w:pPr>
              <w:spacing w:after="0"/>
              <w:rPr>
                <w:sz w:val="11"/>
                <w:szCs w:val="11"/>
                <w:color w:val="auto"/>
              </w:rPr>
            </w:pPr>
          </w:p>
        </w:tc>
        <w:tc>
          <w:tcPr>
            <w:tcW w:w="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2,679,909</w:t>
            </w:r>
          </w:p>
        </w:tc>
        <w:tc>
          <w:tcPr>
            <w:tcW w:w="100" w:type="dxa"/>
            <w:vAlign w:val="bottom"/>
            <w:shd w:val="clear" w:color="auto" w:fill="CCEEFF"/>
          </w:tcPr>
          <w:p>
            <w:pPr>
              <w:spacing w:after="0"/>
              <w:rPr>
                <w:sz w:val="11"/>
                <w:szCs w:val="11"/>
                <w:color w:val="auto"/>
              </w:rPr>
            </w:pPr>
          </w:p>
        </w:tc>
        <w:tc>
          <w:tcPr>
            <w:tcW w:w="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2,590,914</w:t>
            </w:r>
          </w:p>
        </w:tc>
        <w:tc>
          <w:tcPr>
            <w:tcW w:w="1060" w:type="dxa"/>
            <w:vAlign w:val="bottom"/>
            <w:gridSpan w:val="3"/>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7.1 %</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0.9</w:t>
            </w:r>
          </w:p>
        </w:tc>
        <w:tc>
          <w:tcPr>
            <w:tcW w:w="100" w:type="dxa"/>
            <w:vAlign w:val="bottom"/>
            <w:shd w:val="clear" w:color="auto" w:fill="CCEEFF"/>
          </w:tcPr>
          <w:p>
            <w:pPr>
              <w:spacing w:after="0"/>
              <w:rPr>
                <w:sz w:val="11"/>
                <w:szCs w:val="11"/>
                <w:color w:val="auto"/>
              </w:rPr>
            </w:pPr>
          </w:p>
        </w:tc>
        <w:tc>
          <w:tcPr>
            <w:tcW w:w="8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w:t>
            </w:r>
          </w:p>
        </w:tc>
        <w:tc>
          <w:tcPr>
            <w:tcW w:w="0" w:type="dxa"/>
            <w:vAlign w:val="bottom"/>
          </w:tcPr>
          <w:p>
            <w:pPr>
              <w:spacing w:after="0"/>
              <w:rPr>
                <w:sz w:val="1"/>
                <w:szCs w:val="1"/>
                <w:color w:val="auto"/>
              </w:rPr>
            </w:pPr>
          </w:p>
        </w:tc>
      </w:tr>
      <w:tr>
        <w:trPr>
          <w:trHeight w:val="207"/>
        </w:trPr>
        <w:tc>
          <w:tcPr>
            <w:tcW w:w="1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investment, net</w:t>
            </w:r>
          </w:p>
        </w:tc>
        <w:tc>
          <w:tcPr>
            <w:tcW w:w="120" w:type="dxa"/>
            <w:vAlign w:val="bottom"/>
            <w:vMerge w:val="continue"/>
            <w:shd w:val="clear" w:color="auto" w:fill="CCEEFF"/>
          </w:tcPr>
          <w:p>
            <w:pPr>
              <w:spacing w:after="0"/>
              <w:rPr>
                <w:sz w:val="17"/>
                <w:szCs w:val="17"/>
                <w:color w:val="auto"/>
              </w:rPr>
            </w:pPr>
          </w:p>
        </w:tc>
        <w:tc>
          <w:tcPr>
            <w:tcW w:w="76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vMerge w:val="continue"/>
            <w:shd w:val="clear" w:color="auto" w:fill="CCEEFF"/>
          </w:tcPr>
          <w:p>
            <w:pPr>
              <w:spacing w:after="0"/>
              <w:rPr>
                <w:sz w:val="17"/>
                <w:szCs w:val="17"/>
                <w:color w:val="auto"/>
              </w:rPr>
            </w:pPr>
          </w:p>
        </w:tc>
        <w:tc>
          <w:tcPr>
            <w:tcW w:w="760" w:type="dxa"/>
            <w:vAlign w:val="bottom"/>
            <w:vMerge w:val="continue"/>
            <w:shd w:val="clear" w:color="auto" w:fill="CCEEFF"/>
          </w:tcPr>
          <w:p>
            <w:pPr>
              <w:spacing w:after="0"/>
              <w:rPr>
                <w:sz w:val="17"/>
                <w:szCs w:val="17"/>
                <w:color w:val="auto"/>
              </w:rPr>
            </w:pPr>
          </w:p>
        </w:tc>
        <w:tc>
          <w:tcPr>
            <w:tcW w:w="1040" w:type="dxa"/>
            <w:vAlign w:val="bottom"/>
            <w:gridSpan w:val="2"/>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0" w:type="dxa"/>
            <w:vAlign w:val="bottom"/>
            <w:vMerge w:val="continue"/>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0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vMerge w:val="continue"/>
            <w:shd w:val="clear" w:color="auto" w:fill="CCEEFF"/>
          </w:tcPr>
          <w:p>
            <w:pPr>
              <w:spacing w:after="0"/>
              <w:rPr>
                <w:sz w:val="17"/>
                <w:szCs w:val="17"/>
                <w:color w:val="auto"/>
              </w:rPr>
            </w:pPr>
          </w:p>
        </w:tc>
        <w:tc>
          <w:tcPr>
            <w:tcW w:w="78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vMerge w:val="continue"/>
            <w:shd w:val="clear" w:color="auto" w:fill="CCEEFF"/>
          </w:tcPr>
          <w:p>
            <w:pPr>
              <w:spacing w:after="0"/>
              <w:rPr>
                <w:sz w:val="17"/>
                <w:szCs w:val="17"/>
                <w:color w:val="auto"/>
              </w:rPr>
            </w:pPr>
          </w:p>
        </w:tc>
        <w:tc>
          <w:tcPr>
            <w:tcW w:w="760" w:type="dxa"/>
            <w:vAlign w:val="bottom"/>
            <w:vMerge w:val="continue"/>
            <w:shd w:val="clear" w:color="auto" w:fill="CCEEFF"/>
          </w:tcPr>
          <w:p>
            <w:pPr>
              <w:spacing w:after="0"/>
              <w:rPr>
                <w:sz w:val="17"/>
                <w:szCs w:val="17"/>
                <w:color w:val="auto"/>
              </w:rPr>
            </w:pPr>
          </w:p>
        </w:tc>
        <w:tc>
          <w:tcPr>
            <w:tcW w:w="1060" w:type="dxa"/>
            <w:vAlign w:val="bottom"/>
            <w:gridSpan w:val="3"/>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2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_________________________________________</w:t>
      </w:r>
    </w:p>
    <w:p>
      <w:pPr>
        <w:spacing w:after="0" w:line="17" w:lineRule="exact"/>
        <w:rPr>
          <w:sz w:val="20"/>
          <w:szCs w:val="20"/>
          <w:color w:val="auto"/>
        </w:rPr>
      </w:pPr>
    </w:p>
    <w:p>
      <w:pPr>
        <w:ind w:left="340" w:hanging="332"/>
        <w:spacing w:after="0" w:line="259" w:lineRule="auto"/>
        <w:tabs>
          <w:tab w:leader="none" w:pos="332"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Calculated based on contractual interest rate, except for nonaccrual loans. As of September 30, 2026 and December 31, 2025, all variable rate loans utilize Term Secured Overnight Financing Rate (“Term SOFR”).</w:t>
      </w:r>
    </w:p>
    <w:p>
      <w:pPr>
        <w:ind w:left="320" w:hanging="312"/>
        <w:spacing w:after="0"/>
        <w:tabs>
          <w:tab w:leader="none" w:pos="32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Calculated using current maturity date.</w:t>
      </w:r>
    </w:p>
    <w:p>
      <w:pPr>
        <w:spacing w:after="0" w:line="14" w:lineRule="exact"/>
        <w:rPr>
          <w:rFonts w:ascii="Times New Roman" w:cs="Times New Roman" w:eastAsia="Times New Roman" w:hAnsi="Times New Roman"/>
          <w:sz w:val="14"/>
          <w:szCs w:val="14"/>
          <w:color w:val="auto"/>
        </w:rPr>
      </w:pPr>
    </w:p>
    <w:p>
      <w:pPr>
        <w:ind w:left="320" w:hanging="312"/>
        <w:spacing w:after="0"/>
        <w:tabs>
          <w:tab w:leader="none" w:pos="32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Calculated using extended maturity date.</w:t>
      </w:r>
    </w:p>
    <w:p>
      <w:pPr>
        <w:spacing w:after="0" w:line="14" w:lineRule="exact"/>
        <w:rPr>
          <w:rFonts w:ascii="Times New Roman" w:cs="Times New Roman" w:eastAsia="Times New Roman" w:hAnsi="Times New Roman"/>
          <w:sz w:val="14"/>
          <w:szCs w:val="14"/>
          <w:color w:val="auto"/>
        </w:rPr>
      </w:pPr>
    </w:p>
    <w:p>
      <w:pPr>
        <w:ind w:left="320" w:hanging="312"/>
        <w:spacing w:after="0"/>
        <w:tabs>
          <w:tab w:leader="none" w:pos="32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loans transferred into securitization trusts that are consolidated by the Company.</w:t>
      </w:r>
    </w:p>
    <w:p>
      <w:pPr>
        <w:spacing w:after="0" w:line="4" w:lineRule="exact"/>
        <w:rPr>
          <w:rFonts w:ascii="Times New Roman" w:cs="Times New Roman" w:eastAsia="Times New Roman" w:hAnsi="Times New Roman"/>
          <w:sz w:val="14"/>
          <w:szCs w:val="14"/>
          <w:color w:val="auto"/>
        </w:rPr>
      </w:pPr>
    </w:p>
    <w:p>
      <w:pPr>
        <w:ind w:left="320" w:hanging="312"/>
        <w:spacing w:after="0"/>
        <w:tabs>
          <w:tab w:leader="none" w:pos="32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contractual maturity of the fixed rate senior loan was October 9, 2026 at September 30, 2026. The loan was extended subsequent to September 30, 2026.</w:t>
      </w:r>
    </w:p>
    <w:p>
      <w:pPr>
        <w:spacing w:after="0" w:line="246"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The Company had $12.7 million and $10.8 million of interest receivable related to its loans and preferred equity held for investment, net as of September 30, 2026, and December 31, 2025, respectively. This is included in receivables, net on the Company’s consolidated balance sheets.</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BRIGHTSPIRE CAPITAL,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Activity relating to the Company’s loans and preferred equity held for investment, net was as follows (dollars in thousands):</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30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2100" w:type="dxa"/>
            <w:vAlign w:val="bottom"/>
            <w:tcBorders>
              <w:bottom w:val="single" w:sz="8" w:color="auto"/>
            </w:tcBorders>
            <w:gridSpan w:val="3"/>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Carrying Value</w:t>
            </w:r>
          </w:p>
        </w:tc>
        <w:tc>
          <w:tcPr>
            <w:tcW w:w="1140" w:type="dxa"/>
            <w:vAlign w:val="bottom"/>
            <w:tcBorders>
              <w:bottom w:val="single" w:sz="8" w:color="auto"/>
            </w:tcBorders>
          </w:tcPr>
          <w:p>
            <w:pPr>
              <w:spacing w:after="0"/>
              <w:rPr>
                <w:sz w:val="18"/>
                <w:szCs w:val="18"/>
                <w:color w:val="auto"/>
              </w:rPr>
            </w:pPr>
          </w:p>
        </w:tc>
      </w:tr>
      <w:tr>
        <w:trPr>
          <w:trHeight w:val="223"/>
        </w:trPr>
        <w:tc>
          <w:tcPr>
            <w:tcW w:w="730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3240" w:type="dxa"/>
            <w:vAlign w:val="bottom"/>
            <w:tcBorders>
              <w:bottom w:val="single" w:sz="8" w:color="auto"/>
            </w:tcBorders>
            <w:gridSpan w:val="4"/>
          </w:tcPr>
          <w:p>
            <w:pPr>
              <w:jc w:val="right"/>
              <w:ind w:right="499"/>
              <w:spacing w:after="0"/>
              <w:rPr>
                <w:sz w:val="20"/>
                <w:szCs w:val="20"/>
                <w:color w:val="auto"/>
              </w:rPr>
            </w:pPr>
            <w:r>
              <w:rPr>
                <w:rFonts w:ascii="Times New Roman" w:cs="Times New Roman" w:eastAsia="Times New Roman" w:hAnsi="Times New Roman"/>
                <w:sz w:val="16"/>
                <w:szCs w:val="16"/>
                <w:b w:val="1"/>
                <w:bCs w:val="1"/>
                <w:color w:val="auto"/>
              </w:rPr>
              <w:t>Nine Months Ended September 30,</w:t>
            </w:r>
          </w:p>
        </w:tc>
      </w:tr>
      <w:tr>
        <w:trPr>
          <w:trHeight w:val="223"/>
        </w:trPr>
        <w:tc>
          <w:tcPr>
            <w:tcW w:w="73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ind w:right="619"/>
              <w:spacing w:after="0"/>
              <w:rPr>
                <w:sz w:val="20"/>
                <w:szCs w:val="20"/>
                <w:color w:val="auto"/>
              </w:rPr>
            </w:pPr>
            <w:r>
              <w:rPr>
                <w:rFonts w:ascii="Times New Roman" w:cs="Times New Roman" w:eastAsia="Times New Roman" w:hAnsi="Times New Roman"/>
                <w:sz w:val="16"/>
                <w:szCs w:val="16"/>
                <w:b w:val="1"/>
                <w:bCs w:val="1"/>
                <w:color w:val="auto"/>
              </w:rPr>
              <w:t>2026</w:t>
            </w:r>
          </w:p>
        </w:tc>
        <w:tc>
          <w:tcPr>
            <w:tcW w:w="100" w:type="dxa"/>
            <w:vAlign w:val="bottom"/>
            <w:tcBorders>
              <w:bottom w:val="single" w:sz="8" w:color="CCEEFF"/>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639"/>
              <w:spacing w:after="0"/>
              <w:rPr>
                <w:sz w:val="20"/>
                <w:szCs w:val="20"/>
                <w:color w:val="auto"/>
              </w:rPr>
            </w:pPr>
            <w:r>
              <w:rPr>
                <w:rFonts w:ascii="Times New Roman" w:cs="Times New Roman" w:eastAsia="Times New Roman" w:hAnsi="Times New Roman"/>
                <w:sz w:val="16"/>
                <w:szCs w:val="16"/>
                <w:b w:val="1"/>
                <w:bCs w:val="1"/>
                <w:color w:val="auto"/>
              </w:rPr>
              <w:t>2025</w:t>
            </w:r>
          </w:p>
        </w:tc>
      </w:tr>
      <w:tr>
        <w:trPr>
          <w:trHeight w:val="226"/>
        </w:trPr>
        <w:tc>
          <w:tcPr>
            <w:tcW w:w="7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at January 1</w:t>
            </w:r>
          </w:p>
        </w:tc>
        <w:tc>
          <w:tcPr>
            <w:tcW w:w="3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2,590,914</w:t>
            </w: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jc w:val="right"/>
              <w:ind w:right="41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2,352,993</w:t>
            </w:r>
          </w:p>
        </w:tc>
      </w:tr>
      <w:tr>
        <w:trPr>
          <w:trHeight w:val="229"/>
        </w:trPr>
        <w:tc>
          <w:tcPr>
            <w:tcW w:w="7300" w:type="dxa"/>
            <w:vAlign w:val="bottom"/>
          </w:tcPr>
          <w:p>
            <w:pPr>
              <w:ind w:left="20"/>
              <w:spacing w:after="0" w:line="230" w:lineRule="exact"/>
              <w:rPr>
                <w:sz w:val="20"/>
                <w:szCs w:val="20"/>
                <w:color w:val="auto"/>
              </w:rPr>
            </w:pPr>
            <w:r>
              <w:rPr>
                <w:rFonts w:ascii="Times New Roman" w:cs="Times New Roman" w:eastAsia="Times New Roman" w:hAnsi="Times New Roman"/>
                <w:sz w:val="16"/>
                <w:szCs w:val="16"/>
                <w:color w:val="auto"/>
              </w:rPr>
              <w:t>Acquisitions/originations/additional funding</w:t>
            </w:r>
            <w:r>
              <w:rPr>
                <w:rFonts w:ascii="Times New Roman" w:cs="Times New Roman" w:eastAsia="Times New Roman" w:hAnsi="Times New Roman"/>
                <w:sz w:val="21"/>
                <w:szCs w:val="21"/>
                <w:color w:val="auto"/>
                <w:vertAlign w:val="superscript"/>
              </w:rPr>
              <w:t>(1)</w:t>
            </w:r>
          </w:p>
        </w:tc>
        <w:tc>
          <w:tcPr>
            <w:tcW w:w="3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835,024</w:t>
            </w: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356,578</w:t>
            </w:r>
          </w:p>
        </w:tc>
      </w:tr>
      <w:tr>
        <w:trPr>
          <w:trHeight w:val="229"/>
        </w:trPr>
        <w:tc>
          <w:tcPr>
            <w:tcW w:w="730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6"/>
                <w:szCs w:val="16"/>
                <w:color w:val="auto"/>
              </w:rPr>
              <w:t>Loan maturities/principal repayments</w:t>
            </w:r>
            <w:r>
              <w:rPr>
                <w:rFonts w:ascii="Times New Roman" w:cs="Times New Roman" w:eastAsia="Times New Roman" w:hAnsi="Times New Roman"/>
                <w:sz w:val="21"/>
                <w:szCs w:val="21"/>
                <w:color w:val="auto"/>
                <w:vertAlign w:val="superscript"/>
              </w:rPr>
              <w:t>(1)</w:t>
            </w:r>
          </w:p>
        </w:tc>
        <w:tc>
          <w:tcPr>
            <w:tcW w:w="3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(372,061)</w:t>
            </w: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(243,630)</w:t>
            </w:r>
          </w:p>
        </w:tc>
      </w:tr>
      <w:tr>
        <w:trPr>
          <w:trHeight w:val="230"/>
        </w:trPr>
        <w:tc>
          <w:tcPr>
            <w:tcW w:w="7300" w:type="dxa"/>
            <w:vAlign w:val="bottom"/>
          </w:tcPr>
          <w:p>
            <w:pPr>
              <w:ind w:left="20"/>
              <w:spacing w:after="0" w:line="230" w:lineRule="exact"/>
              <w:rPr>
                <w:sz w:val="20"/>
                <w:szCs w:val="20"/>
                <w:color w:val="auto"/>
              </w:rPr>
            </w:pPr>
            <w:r>
              <w:rPr>
                <w:rFonts w:ascii="Times New Roman" w:cs="Times New Roman" w:eastAsia="Times New Roman" w:hAnsi="Times New Roman"/>
                <w:sz w:val="16"/>
                <w:szCs w:val="16"/>
                <w:color w:val="auto"/>
              </w:rPr>
              <w:t>Increase of CECL reserve</w:t>
            </w:r>
            <w:r>
              <w:rPr>
                <w:rFonts w:ascii="Times New Roman" w:cs="Times New Roman" w:eastAsia="Times New Roman" w:hAnsi="Times New Roman"/>
                <w:sz w:val="21"/>
                <w:szCs w:val="21"/>
                <w:color w:val="auto"/>
                <w:vertAlign w:val="superscript"/>
              </w:rPr>
              <w:t>(2)</w:t>
            </w:r>
          </w:p>
        </w:tc>
        <w:tc>
          <w:tcPr>
            <w:tcW w:w="3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(30,033)</w:t>
            </w: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(8,144)</w:t>
            </w:r>
          </w:p>
        </w:tc>
      </w:tr>
      <w:tr>
        <w:trPr>
          <w:trHeight w:val="229"/>
        </w:trPr>
        <w:tc>
          <w:tcPr>
            <w:tcW w:w="7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Discount accretion and fee amortization, net</w:t>
            </w:r>
          </w:p>
        </w:tc>
        <w:tc>
          <w:tcPr>
            <w:tcW w:w="3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(4,304)</w:t>
            </w: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458</w:t>
            </w:r>
          </w:p>
        </w:tc>
      </w:tr>
      <w:tr>
        <w:trPr>
          <w:trHeight w:val="227"/>
        </w:trPr>
        <w:tc>
          <w:tcPr>
            <w:tcW w:w="73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Capitalized interest, net of repayments</w:t>
            </w:r>
          </w:p>
        </w:tc>
        <w:tc>
          <w:tcPr>
            <w:tcW w:w="3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1,667</w:t>
            </w: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1,787</w:t>
            </w:r>
          </w:p>
        </w:tc>
      </w:tr>
      <w:tr>
        <w:trPr>
          <w:trHeight w:val="233"/>
        </w:trPr>
        <w:tc>
          <w:tcPr>
            <w:tcW w:w="7300" w:type="dxa"/>
            <w:vAlign w:val="bottom"/>
            <w:shd w:val="clear" w:color="auto" w:fill="CCEEFF"/>
          </w:tcPr>
          <w:p>
            <w:pPr>
              <w:ind w:left="20"/>
              <w:spacing w:after="0" w:line="233" w:lineRule="exact"/>
              <w:rPr>
                <w:sz w:val="20"/>
                <w:szCs w:val="20"/>
                <w:color w:val="auto"/>
              </w:rPr>
            </w:pPr>
            <w:r>
              <w:rPr>
                <w:rFonts w:ascii="Times New Roman" w:cs="Times New Roman" w:eastAsia="Times New Roman" w:hAnsi="Times New Roman"/>
                <w:sz w:val="16"/>
                <w:szCs w:val="16"/>
                <w:color w:val="auto"/>
              </w:rPr>
              <w:t>Transfer to Real Estate, net</w:t>
            </w:r>
            <w:r>
              <w:rPr>
                <w:rFonts w:ascii="Times New Roman" w:cs="Times New Roman" w:eastAsia="Times New Roman" w:hAnsi="Times New Roman"/>
                <w:sz w:val="21"/>
                <w:szCs w:val="21"/>
                <w:color w:val="auto"/>
                <w:vertAlign w:val="superscript"/>
              </w:rPr>
              <w:t>(3)(4)</w:t>
            </w:r>
          </w:p>
        </w:tc>
        <w:tc>
          <w:tcPr>
            <w:tcW w:w="340" w:type="dxa"/>
            <w:vAlign w:val="bottom"/>
            <w:shd w:val="clear" w:color="auto" w:fill="CCEEFF"/>
          </w:tcPr>
          <w:p>
            <w:pPr>
              <w:spacing w:after="0"/>
              <w:rPr>
                <w:sz w:val="20"/>
                <w:szCs w:val="20"/>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(45,200)</w:t>
            </w:r>
          </w:p>
        </w:tc>
        <w:tc>
          <w:tcPr>
            <w:tcW w:w="10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(243,956)</w:t>
            </w:r>
          </w:p>
        </w:tc>
      </w:tr>
      <w:tr>
        <w:trPr>
          <w:trHeight w:val="229"/>
        </w:trPr>
        <w:tc>
          <w:tcPr>
            <w:tcW w:w="7300" w:type="dxa"/>
            <w:vAlign w:val="bottom"/>
          </w:tcPr>
          <w:p>
            <w:pPr>
              <w:ind w:left="20"/>
              <w:spacing w:after="0" w:line="230" w:lineRule="exact"/>
              <w:rPr>
                <w:sz w:val="20"/>
                <w:szCs w:val="20"/>
                <w:color w:val="auto"/>
              </w:rPr>
            </w:pPr>
            <w:r>
              <w:rPr>
                <w:rFonts w:ascii="Times New Roman" w:cs="Times New Roman" w:eastAsia="Times New Roman" w:hAnsi="Times New Roman"/>
                <w:sz w:val="16"/>
                <w:szCs w:val="16"/>
                <w:color w:val="auto"/>
              </w:rPr>
              <w:t>Charge-off of CECL reserve-transfer to Real Estate, net</w:t>
            </w:r>
            <w:r>
              <w:rPr>
                <w:rFonts w:ascii="Times New Roman" w:cs="Times New Roman" w:eastAsia="Times New Roman" w:hAnsi="Times New Roman"/>
                <w:sz w:val="21"/>
                <w:szCs w:val="21"/>
                <w:color w:val="auto"/>
                <w:vertAlign w:val="superscript"/>
              </w:rPr>
              <w:t>(3)(4)</w:t>
            </w:r>
          </w:p>
        </w:tc>
        <w:tc>
          <w:tcPr>
            <w:tcW w:w="340" w:type="dxa"/>
            <w:vAlign w:val="bottom"/>
          </w:tcPr>
          <w:p>
            <w:pPr>
              <w:spacing w:after="0"/>
              <w:rPr>
                <w:sz w:val="19"/>
                <w:szCs w:val="19"/>
                <w:color w:val="auto"/>
              </w:rPr>
            </w:pPr>
          </w:p>
        </w:tc>
        <w:tc>
          <w:tcPr>
            <w:tcW w:w="15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20,224</w:t>
            </w:r>
          </w:p>
        </w:tc>
      </w:tr>
      <w:tr>
        <w:trPr>
          <w:trHeight w:val="230"/>
        </w:trPr>
        <w:tc>
          <w:tcPr>
            <w:tcW w:w="730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6"/>
                <w:szCs w:val="16"/>
                <w:color w:val="auto"/>
              </w:rPr>
              <w:t>Charge-off of loan held for investment</w:t>
            </w:r>
            <w:r>
              <w:rPr>
                <w:rFonts w:ascii="Times New Roman" w:cs="Times New Roman" w:eastAsia="Times New Roman" w:hAnsi="Times New Roman"/>
                <w:sz w:val="21"/>
                <w:szCs w:val="21"/>
                <w:color w:val="auto"/>
                <w:vertAlign w:val="superscript"/>
              </w:rPr>
              <w:t>(5)(6)</w:t>
            </w:r>
          </w:p>
        </w:tc>
        <w:tc>
          <w:tcPr>
            <w:tcW w:w="3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(11,116)</w:t>
            </w: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(27,366)</w:t>
            </w:r>
          </w:p>
        </w:tc>
      </w:tr>
      <w:tr>
        <w:trPr>
          <w:trHeight w:val="229"/>
        </w:trPr>
        <w:tc>
          <w:tcPr>
            <w:tcW w:w="7300" w:type="dxa"/>
            <w:vAlign w:val="bottom"/>
            <w:tcBorders>
              <w:bottom w:val="single" w:sz="8" w:color="CCEEFF"/>
            </w:tcBorders>
          </w:tcPr>
          <w:p>
            <w:pPr>
              <w:ind w:left="20"/>
              <w:spacing w:after="0" w:line="230" w:lineRule="exact"/>
              <w:rPr>
                <w:sz w:val="20"/>
                <w:szCs w:val="20"/>
                <w:color w:val="auto"/>
              </w:rPr>
            </w:pPr>
            <w:r>
              <w:rPr>
                <w:rFonts w:ascii="Times New Roman" w:cs="Times New Roman" w:eastAsia="Times New Roman" w:hAnsi="Times New Roman"/>
                <w:sz w:val="16"/>
                <w:szCs w:val="16"/>
                <w:color w:val="auto"/>
              </w:rPr>
              <w:t>Charge-off of CECL reserve-other</w:t>
            </w:r>
            <w:r>
              <w:rPr>
                <w:rFonts w:ascii="Times New Roman" w:cs="Times New Roman" w:eastAsia="Times New Roman" w:hAnsi="Times New Roman"/>
                <w:sz w:val="21"/>
                <w:szCs w:val="21"/>
                <w:color w:val="auto"/>
                <w:vertAlign w:val="superscript"/>
              </w:rPr>
              <w:t>(5)(6)</w:t>
            </w:r>
          </w:p>
        </w:tc>
        <w:tc>
          <w:tcPr>
            <w:tcW w:w="34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11,116</w:t>
            </w:r>
          </w:p>
        </w:tc>
        <w:tc>
          <w:tcPr>
            <w:tcW w:w="100" w:type="dxa"/>
            <w:vAlign w:val="bottom"/>
            <w:tcBorders>
              <w:bottom w:val="single" w:sz="8" w:color="CCEEFF"/>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27,366</w:t>
            </w:r>
          </w:p>
        </w:tc>
      </w:tr>
      <w:tr>
        <w:trPr>
          <w:trHeight w:val="248"/>
        </w:trPr>
        <w:tc>
          <w:tcPr>
            <w:tcW w:w="73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at September 30</w:t>
            </w: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2,976,007</w:t>
            </w:r>
          </w:p>
        </w:tc>
        <w:tc>
          <w:tcPr>
            <w:tcW w:w="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auto"/>
            </w:tcBorders>
            <w:shd w:val="clear" w:color="auto" w:fill="CCEEFF"/>
          </w:tcPr>
          <w:p>
            <w:pPr>
              <w:jc w:val="right"/>
              <w:ind w:right="41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2,236,310</w:t>
            </w:r>
          </w:p>
        </w:tc>
      </w:tr>
      <w:tr>
        <w:trPr>
          <w:trHeight w:val="20"/>
        </w:trPr>
        <w:tc>
          <w:tcPr>
            <w:tcW w:w="73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bl>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_________________________________________</w:t>
      </w:r>
    </w:p>
    <w:p>
      <w:pPr>
        <w:spacing w:after="0" w:line="27" w:lineRule="exact"/>
        <w:rPr>
          <w:sz w:val="20"/>
          <w:szCs w:val="20"/>
          <w:color w:val="auto"/>
        </w:rPr>
      </w:pPr>
    </w:p>
    <w:p>
      <w:pPr>
        <w:jc w:val="both"/>
        <w:ind w:left="340" w:hanging="332"/>
        <w:spacing w:after="0" w:line="264" w:lineRule="auto"/>
        <w:tabs>
          <w:tab w:leader="none" w:pos="332"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During the first quarter of 2025, the Company amended a senior mixed-use loan as part of the resolution of a senior mixed-use loan with the same sponsor. In relation to this amendment, there was a transfer of principal of $8.8 million. This transfer is not included within these captions as it was neither additional funding nor a repayment. Refer to “Loan Modifications” below for more detail. During the nine months ended September 30, 2026, the Company originated 26 loans and preferred equity with a total of $874.4 million in committed principal balance.</w:t>
      </w:r>
    </w:p>
    <w:p>
      <w:pPr>
        <w:spacing w:after="0" w:line="157" w:lineRule="exact"/>
        <w:rPr>
          <w:rFonts w:ascii="Times New Roman" w:cs="Times New Roman" w:eastAsia="Times New Roman" w:hAnsi="Times New Roman"/>
          <w:sz w:val="14"/>
          <w:szCs w:val="14"/>
          <w:color w:val="auto"/>
        </w:rPr>
      </w:pPr>
    </w:p>
    <w:p>
      <w:pPr>
        <w:jc w:val="both"/>
        <w:ind w:left="340" w:hanging="332"/>
        <w:spacing w:after="0" w:line="256" w:lineRule="auto"/>
        <w:tabs>
          <w:tab w:leader="none" w:pos="332"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Increase of CECL reserve excludes $0.3 million for the nine months ended September 30, 2026 and $0.4 million for the nine months ended September 30, 2025 as determined by the Company’s PD/LGD model for unfunded commitments reported on the consolidated statements of operations, with a corresponding offset to accrued and other liabilities recorded on the Company’s consolidated balance sheets.</w:t>
      </w:r>
    </w:p>
    <w:p>
      <w:pPr>
        <w:spacing w:after="0" w:line="1" w:lineRule="exact"/>
        <w:rPr>
          <w:rFonts w:ascii="Times New Roman" w:cs="Times New Roman" w:eastAsia="Times New Roman" w:hAnsi="Times New Roman"/>
          <w:sz w:val="14"/>
          <w:szCs w:val="14"/>
          <w:color w:val="auto"/>
        </w:rPr>
      </w:pPr>
    </w:p>
    <w:p>
      <w:pPr>
        <w:jc w:val="both"/>
        <w:ind w:left="340" w:hanging="332"/>
        <w:spacing w:after="0" w:line="260" w:lineRule="auto"/>
        <w:tabs>
          <w:tab w:leader="none" w:pos="332"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During the first quarter of 2026, the Company acquired legal title to one multifamily property through foreclosure. As a result, the property was consolidated as real estate and removed from loans held from investment, net. The CECL reserve related to this loan was charged off in 2025. There was no gain or loss recorded as part of the consolidation. Refer to Note 4, “Real Estate, net” for further discussion.</w:t>
      </w:r>
    </w:p>
    <w:p>
      <w:pPr>
        <w:jc w:val="both"/>
        <w:ind w:left="340" w:hanging="332"/>
        <w:spacing w:after="0" w:line="257" w:lineRule="auto"/>
        <w:tabs>
          <w:tab w:leader="none" w:pos="332"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During the first quarter of 2025, the Company eliminated a multifamily loan in Mesa, Arizona as part of the consolidation of the Mesa, Arizona property as the primary beneficiary. During the second quarter of 2025, the Company foreclosed on a hotel loan in San Jose, California. During the third quarter of 2025, the Company acquired legal title to an office property in Tualatin, Oregon and a multifamily construction/development project in Santa Clara, California. As a result, the properties were consolidated as real estate and removed from loans held from investment, net. The CECL reserve related to these loans were charged off and the net amount is reflected as an addition to real estate, net. There was no gain or loss recorded as part of the consolidation. Refer to Note 4, “Real Estate, net” for further discussion.</w:t>
      </w:r>
    </w:p>
    <w:p>
      <w:pPr>
        <w:spacing w:after="0" w:line="2" w:lineRule="exact"/>
        <w:rPr>
          <w:rFonts w:ascii="Times New Roman" w:cs="Times New Roman" w:eastAsia="Times New Roman" w:hAnsi="Times New Roman"/>
          <w:sz w:val="14"/>
          <w:szCs w:val="14"/>
          <w:color w:val="auto"/>
        </w:rPr>
      </w:pPr>
    </w:p>
    <w:p>
      <w:pPr>
        <w:jc w:val="both"/>
        <w:ind w:left="340" w:hanging="332"/>
        <w:spacing w:after="0" w:line="254" w:lineRule="auto"/>
        <w:tabs>
          <w:tab w:leader="none" w:pos="332"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During the nine months ended September 30, 2026, the Company charged off uncollectible amounts of $12.2 million relating to three multifamily and one office loan based on resolution of the loans. In addition, the Company had a reversal of charge-offs of $1.1 million based on additional proceeds received upon resolution of an office loan, one industrial loan and one multifamily loan.</w:t>
      </w:r>
    </w:p>
    <w:p>
      <w:pPr>
        <w:spacing w:after="0" w:line="1" w:lineRule="exact"/>
        <w:rPr>
          <w:rFonts w:ascii="Times New Roman" w:cs="Times New Roman" w:eastAsia="Times New Roman" w:hAnsi="Times New Roman"/>
          <w:sz w:val="14"/>
          <w:szCs w:val="14"/>
          <w:color w:val="auto"/>
        </w:rPr>
      </w:pPr>
    </w:p>
    <w:p>
      <w:pPr>
        <w:ind w:left="320" w:hanging="312"/>
        <w:spacing w:after="0"/>
        <w:tabs>
          <w:tab w:leader="none" w:pos="32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During the nine months ended September 30, 2025, the Company charged off uncollectible amounts of $27.4 million relating to two multifamily loans based on resolution of the loans.</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Loan Modifications</w:t>
      </w:r>
    </w:p>
    <w:p>
      <w:pPr>
        <w:spacing w:after="0" w:line="16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may amend or modify a loan depending on the loan’s specific facts and circumstances. These loan modifications typically include additional time for the borrower to refinance or sell the collateral property, adjustment or waiver of performance tests that are prerequisite to the extension of a loan’s maturity, and/or deferral of scheduled principal payments. In exchange for a modification, the Company may receive a partial repayment of principal, a short-term accrual of capitalized interest for a portion of interest due, a cash infusion to replenish interest or capital improvement reserves, termination of all or a portion of the remaining unfunded loan commitment, additional call protection, and/or increase the loan coupon.</w:t>
      </w:r>
    </w:p>
    <w:p>
      <w:pPr>
        <w:spacing w:after="0" w:line="10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During the first quarter of 2025, the Company amended a senior mixed-use loan (“Loan A”) as part of the resolution of a senior mixed-use loan (“Loan B”) with the same sponsor. The sponsor obtained new financing on Loan B collateral that was $8.8 million short of a full principal payoff. The $8.8 million of principal was transferred to Loan A as part of the full resolution of Loan B. A joint venture agreement was entered into with the sponsor with respect to the Loan B collateral providing that (i) any available cash after Loan B debt service is paid is distributed to the Company to pay down Loan A and (ii) if, at any time after two years, Loan A is not paid off, the Company may unilaterally force a sale of the collateral for Loan B. During the fourth quarter of 2025, Loan A was further modified to allow funds to be used to pay for architecture, design, and permitting fees to better position the collateral for a sale. The maturity of Loan A and the venture agreement were also shortened by nine months. In the second quarter of 2026, the total commitment of Loan A was increased by $0.5 million. In the third quarter of 2026, Loan A was extended to October 9, 2026. Subsequent to September 30, 2026, Loan A was extended to November 9, 2026.</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BRIGHTSPIRE CAPITAL,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Preferred Equity Investment Originations</w:t>
      </w:r>
    </w:p>
    <w:p>
      <w:pPr>
        <w:spacing w:after="0" w:line="14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the nine months ended September 30, 2026, the Company originated two preferred equity investments. During the year ended December 31, 2025, the Company originated nine preferred equity investments. Refer to “Unconsolidated VIEs” in Note 2, “Summary of Significant Accounting Policies” for more details on these originations.</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Nonaccrual and Past Due Loans</w:t>
      </w:r>
    </w:p>
    <w:p>
      <w:pPr>
        <w:spacing w:after="0" w:line="16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Loans that are 90 days or more past due as to principal or interest, or where reasonable doubt exists as to timely collection, are generally considered nonperforming and placed on nonaccrual status.</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provides an aging summary of loans held for investment at carrying values before CECL reserve (dollars in thousands):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460" w:type="dxa"/>
            <w:vAlign w:val="bottom"/>
          </w:tcPr>
          <w:p>
            <w:pPr>
              <w:spacing w:after="0"/>
              <w:rPr>
                <w:sz w:val="13"/>
                <w:szCs w:val="13"/>
                <w:color w:val="auto"/>
              </w:rPr>
            </w:pPr>
          </w:p>
        </w:tc>
        <w:tc>
          <w:tcPr>
            <w:tcW w:w="1560" w:type="dxa"/>
            <w:vAlign w:val="bottom"/>
            <w:gridSpan w:val="3"/>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Current or Less Than</w:t>
            </w:r>
          </w:p>
        </w:tc>
        <w:tc>
          <w:tcPr>
            <w:tcW w:w="15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30-59 Days Past Due</w:t>
            </w:r>
            <w:r>
              <w:rPr>
                <w:rFonts w:ascii="Times New Roman" w:cs="Times New Roman" w:eastAsia="Times New Roman" w:hAnsi="Times New Roman"/>
                <w:sz w:val="18"/>
                <w:szCs w:val="18"/>
                <w:b w:val="1"/>
                <w:bCs w:val="1"/>
                <w:color w:val="auto"/>
                <w:vertAlign w:val="superscript"/>
              </w:rPr>
              <w:t>(1)</w:t>
            </w:r>
          </w:p>
        </w:tc>
        <w:tc>
          <w:tcPr>
            <w:tcW w:w="80" w:type="dxa"/>
            <w:vAlign w:val="bottom"/>
            <w:vMerge w:val="restart"/>
          </w:tcPr>
          <w:p>
            <w:pPr>
              <w:spacing w:after="0"/>
              <w:rPr>
                <w:sz w:val="13"/>
                <w:szCs w:val="13"/>
                <w:color w:val="auto"/>
              </w:rPr>
            </w:pPr>
          </w:p>
        </w:tc>
        <w:tc>
          <w:tcPr>
            <w:tcW w:w="120" w:type="dxa"/>
            <w:vAlign w:val="bottom"/>
          </w:tcPr>
          <w:p>
            <w:pPr>
              <w:spacing w:after="0"/>
              <w:rPr>
                <w:sz w:val="13"/>
                <w:szCs w:val="13"/>
                <w:color w:val="auto"/>
              </w:rPr>
            </w:pPr>
          </w:p>
        </w:tc>
        <w:tc>
          <w:tcPr>
            <w:tcW w:w="13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60-89 Days Past Due</w:t>
            </w:r>
          </w:p>
        </w:tc>
        <w:tc>
          <w:tcPr>
            <w:tcW w:w="100" w:type="dxa"/>
            <w:vAlign w:val="bottom"/>
            <w:vMerge w:val="restart"/>
          </w:tcPr>
          <w:p>
            <w:pPr>
              <w:spacing w:after="0"/>
              <w:rPr>
                <w:sz w:val="13"/>
                <w:szCs w:val="13"/>
                <w:color w:val="auto"/>
              </w:rPr>
            </w:pPr>
          </w:p>
        </w:tc>
        <w:tc>
          <w:tcPr>
            <w:tcW w:w="1580" w:type="dxa"/>
            <w:vAlign w:val="bottom"/>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90 Days or More Past</w:t>
            </w:r>
          </w:p>
        </w:tc>
        <w:tc>
          <w:tcPr>
            <w:tcW w:w="240" w:type="dxa"/>
            <w:vAlign w:val="bottom"/>
          </w:tcPr>
          <w:p>
            <w:pPr>
              <w:spacing w:after="0"/>
              <w:rPr>
                <w:sz w:val="13"/>
                <w:szCs w:val="13"/>
                <w:color w:val="auto"/>
              </w:rPr>
            </w:pPr>
          </w:p>
        </w:tc>
        <w:tc>
          <w:tcPr>
            <w:tcW w:w="1240" w:type="dxa"/>
            <w:vAlign w:val="bottom"/>
            <w:vMerge w:val="restart"/>
          </w:tcPr>
          <w:p>
            <w:pPr>
              <w:jc w:val="right"/>
              <w:ind w:right="302"/>
              <w:spacing w:after="0"/>
              <w:rPr>
                <w:sz w:val="20"/>
                <w:szCs w:val="20"/>
                <w:color w:val="auto"/>
              </w:rPr>
            </w:pPr>
            <w:r>
              <w:rPr>
                <w:rFonts w:ascii="Times New Roman" w:cs="Times New Roman" w:eastAsia="Times New Roman" w:hAnsi="Times New Roman"/>
                <w:sz w:val="14"/>
                <w:szCs w:val="14"/>
                <w:b w:val="1"/>
                <w:bCs w:val="1"/>
                <w:color w:val="auto"/>
              </w:rPr>
              <w:t>Total Loans</w:t>
            </w:r>
          </w:p>
        </w:tc>
        <w:tc>
          <w:tcPr>
            <w:tcW w:w="0" w:type="dxa"/>
            <w:vAlign w:val="bottom"/>
          </w:tcPr>
          <w:p>
            <w:pPr>
              <w:spacing w:after="0"/>
              <w:rPr>
                <w:sz w:val="1"/>
                <w:szCs w:val="1"/>
                <w:color w:val="auto"/>
              </w:rPr>
            </w:pPr>
          </w:p>
        </w:tc>
      </w:tr>
      <w:tr>
        <w:trPr>
          <w:trHeight w:val="203"/>
        </w:trPr>
        <w:tc>
          <w:tcPr>
            <w:tcW w:w="346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ind w:right="142"/>
              <w:spacing w:after="0"/>
              <w:rPr>
                <w:sz w:val="20"/>
                <w:szCs w:val="20"/>
                <w:color w:val="auto"/>
              </w:rPr>
            </w:pPr>
            <w:r>
              <w:rPr>
                <w:rFonts w:ascii="Times New Roman" w:cs="Times New Roman" w:eastAsia="Times New Roman" w:hAnsi="Times New Roman"/>
                <w:sz w:val="14"/>
                <w:szCs w:val="14"/>
                <w:b w:val="1"/>
                <w:bCs w:val="1"/>
                <w:color w:val="auto"/>
              </w:rPr>
              <w:t>30 Days Past Due</w:t>
            </w:r>
          </w:p>
        </w:tc>
        <w:tc>
          <w:tcPr>
            <w:tcW w:w="80" w:type="dxa"/>
            <w:vAlign w:val="bottom"/>
            <w:tcBorders>
              <w:bottom w:val="single" w:sz="8" w:color="CCEEFF"/>
            </w:tcBorders>
          </w:tcPr>
          <w:p>
            <w:pPr>
              <w:spacing w:after="0"/>
              <w:rPr>
                <w:sz w:val="17"/>
                <w:szCs w:val="17"/>
                <w:color w:val="auto"/>
              </w:rPr>
            </w:pPr>
          </w:p>
        </w:tc>
        <w:tc>
          <w:tcPr>
            <w:tcW w:w="1500" w:type="dxa"/>
            <w:vAlign w:val="bottom"/>
            <w:tcBorders>
              <w:bottom w:val="single" w:sz="8" w:color="auto"/>
            </w:tcBorders>
            <w:gridSpan w:val="2"/>
            <w:vMerge w:val="continue"/>
          </w:tcPr>
          <w:p>
            <w:pPr>
              <w:spacing w:after="0"/>
              <w:rPr>
                <w:sz w:val="17"/>
                <w:szCs w:val="17"/>
                <w:color w:val="auto"/>
              </w:rPr>
            </w:pPr>
          </w:p>
        </w:tc>
        <w:tc>
          <w:tcPr>
            <w:tcW w:w="80" w:type="dxa"/>
            <w:vAlign w:val="bottom"/>
            <w:tcBorders>
              <w:bottom w:val="single" w:sz="8" w:color="CCEEFF"/>
            </w:tcBorders>
            <w:vMerge w:val="continue"/>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vMerge w:val="continue"/>
          </w:tcPr>
          <w:p>
            <w:pPr>
              <w:spacing w:after="0"/>
              <w:rPr>
                <w:sz w:val="17"/>
                <w:szCs w:val="17"/>
                <w:color w:val="auto"/>
              </w:rPr>
            </w:pPr>
          </w:p>
        </w:tc>
        <w:tc>
          <w:tcPr>
            <w:tcW w:w="100" w:type="dxa"/>
            <w:vAlign w:val="bottom"/>
            <w:tcBorders>
              <w:bottom w:val="single" w:sz="8" w:color="CCEEFF"/>
            </w:tcBorders>
            <w:vMerge w:val="continue"/>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432"/>
              <w:spacing w:after="0" w:line="202" w:lineRule="exact"/>
              <w:rPr>
                <w:sz w:val="20"/>
                <w:szCs w:val="20"/>
                <w:color w:val="auto"/>
              </w:rPr>
            </w:pPr>
            <w:r>
              <w:rPr>
                <w:rFonts w:ascii="Times New Roman" w:cs="Times New Roman" w:eastAsia="Times New Roman" w:hAnsi="Times New Roman"/>
                <w:sz w:val="23"/>
                <w:szCs w:val="23"/>
                <w:b w:val="1"/>
                <w:bCs w:val="1"/>
                <w:color w:val="auto"/>
                <w:vertAlign w:val="subscript"/>
              </w:rPr>
              <w:t>Due</w:t>
            </w:r>
            <w:r>
              <w:rPr>
                <w:rFonts w:ascii="Times New Roman" w:cs="Times New Roman" w:eastAsia="Times New Roman" w:hAnsi="Times New Roman"/>
                <w:sz w:val="8"/>
                <w:szCs w:val="8"/>
                <w:b w:val="1"/>
                <w:bCs w:val="1"/>
                <w:color w:val="auto"/>
              </w:rPr>
              <w:t xml:space="preserve"> (2)(3)</w:t>
            </w:r>
          </w:p>
        </w:tc>
        <w:tc>
          <w:tcPr>
            <w:tcW w:w="1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3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September 30, 2026</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34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3,003,248</w:t>
            </w:r>
          </w:p>
        </w:tc>
        <w:tc>
          <w:tcPr>
            <w:tcW w:w="80" w:type="dxa"/>
            <w:vAlign w:val="bottom"/>
            <w:shd w:val="clear" w:color="auto" w:fill="CCEEFF"/>
          </w:tcPr>
          <w:p>
            <w:pPr>
              <w:spacing w:after="0"/>
              <w:rPr>
                <w:sz w:val="19"/>
                <w:szCs w:val="19"/>
                <w:color w:val="auto"/>
              </w:rPr>
            </w:pPr>
          </w:p>
        </w:tc>
        <w:tc>
          <w:tcPr>
            <w:tcW w:w="540" w:type="dxa"/>
            <w:vAlign w:val="bottom"/>
            <w:shd w:val="clear" w:color="auto" w:fill="CCEEFF"/>
          </w:tcPr>
          <w:p>
            <w:pPr>
              <w:jc w:val="right"/>
              <w:ind w:right="364"/>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63,971</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60" w:type="dxa"/>
            <w:vAlign w:val="bottom"/>
            <w:gridSpan w:val="2"/>
            <w:shd w:val="clear" w:color="auto" w:fill="CCEEFF"/>
          </w:tcPr>
          <w:p>
            <w:pPr>
              <w:ind w:left="114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CEEFF"/>
          </w:tcPr>
          <w:p>
            <w:pPr>
              <w:jc w:val="right"/>
              <w:ind w:right="124"/>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15,105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3,082,324</w:t>
            </w:r>
          </w:p>
        </w:tc>
        <w:tc>
          <w:tcPr>
            <w:tcW w:w="0" w:type="dxa"/>
            <w:vAlign w:val="bottom"/>
          </w:tcPr>
          <w:p>
            <w:pPr>
              <w:spacing w:after="0"/>
              <w:rPr>
                <w:sz w:val="1"/>
                <w:szCs w:val="1"/>
                <w:color w:val="auto"/>
              </w:rPr>
            </w:pPr>
          </w:p>
        </w:tc>
      </w:tr>
      <w:tr>
        <w:trPr>
          <w:trHeight w:val="224"/>
        </w:trPr>
        <w:tc>
          <w:tcPr>
            <w:tcW w:w="34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December 31, 2025</w:t>
            </w:r>
          </w:p>
        </w:tc>
        <w:tc>
          <w:tcPr>
            <w:tcW w:w="140" w:type="dxa"/>
            <w:vAlign w:val="bottom"/>
          </w:tcPr>
          <w:p>
            <w:pPr>
              <w:spacing w:after="0"/>
              <w:rPr>
                <w:sz w:val="19"/>
                <w:szCs w:val="19"/>
                <w:color w:val="auto"/>
              </w:rPr>
            </w:pPr>
          </w:p>
        </w:tc>
        <w:tc>
          <w:tcPr>
            <w:tcW w:w="134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2,641,623</w:t>
            </w:r>
          </w:p>
        </w:tc>
        <w:tc>
          <w:tcPr>
            <w:tcW w:w="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9"/>
                <w:szCs w:val="19"/>
                <w:color w:val="auto"/>
              </w:rPr>
            </w:pPr>
          </w:p>
        </w:tc>
        <w:tc>
          <w:tcPr>
            <w:tcW w:w="1460" w:type="dxa"/>
            <w:vAlign w:val="bottom"/>
            <w:gridSpan w:val="2"/>
          </w:tcPr>
          <w:p>
            <w:pPr>
              <w:ind w:left="114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36,692</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2,678,315</w:t>
            </w:r>
          </w:p>
        </w:tc>
        <w:tc>
          <w:tcPr>
            <w:tcW w:w="0" w:type="dxa"/>
            <w:vAlign w:val="bottom"/>
          </w:tcPr>
          <w:p>
            <w:pPr>
              <w:spacing w:after="0"/>
              <w:rPr>
                <w:sz w:val="1"/>
                <w:szCs w:val="1"/>
                <w:color w:val="auto"/>
              </w:rPr>
            </w:pPr>
          </w:p>
        </w:tc>
      </w:tr>
    </w:tbl>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_________________________________________</w:t>
      </w:r>
    </w:p>
    <w:p>
      <w:pPr>
        <w:spacing w:after="0" w:line="17" w:lineRule="exact"/>
        <w:rPr>
          <w:sz w:val="20"/>
          <w:szCs w:val="20"/>
          <w:color w:val="auto"/>
        </w:rPr>
      </w:pPr>
    </w:p>
    <w:p>
      <w:pPr>
        <w:ind w:left="340" w:hanging="332"/>
        <w:spacing w:after="0" w:line="259" w:lineRule="auto"/>
        <w:tabs>
          <w:tab w:leader="none" w:pos="332"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At September 30, 2026, includes two multifamily senior loans with a carrying value of $64.0 million which were in maturity default. In October 2026, the loans were extended to August 2027.</w:t>
      </w:r>
    </w:p>
    <w:p>
      <w:pPr>
        <w:spacing w:after="0" w:line="173" w:lineRule="exact"/>
        <w:rPr>
          <w:rFonts w:ascii="Times New Roman" w:cs="Times New Roman" w:eastAsia="Times New Roman" w:hAnsi="Times New Roman"/>
          <w:sz w:val="14"/>
          <w:szCs w:val="14"/>
          <w:color w:val="auto"/>
        </w:rPr>
      </w:pPr>
    </w:p>
    <w:p>
      <w:pPr>
        <w:ind w:left="320" w:hanging="312"/>
        <w:spacing w:after="0"/>
        <w:tabs>
          <w:tab w:leader="none" w:pos="32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At September 30, 2026, includes one office mezzanine loan which was placed on nonaccrual status on April 1, 2024, with a carrying value of $15.1 million.</w:t>
      </w:r>
    </w:p>
    <w:p>
      <w:pPr>
        <w:spacing w:after="0" w:line="14" w:lineRule="exact"/>
        <w:rPr>
          <w:rFonts w:ascii="Times New Roman" w:cs="Times New Roman" w:eastAsia="Times New Roman" w:hAnsi="Times New Roman"/>
          <w:sz w:val="14"/>
          <w:szCs w:val="14"/>
          <w:color w:val="auto"/>
        </w:rPr>
      </w:pPr>
    </w:p>
    <w:p>
      <w:pPr>
        <w:ind w:left="340" w:hanging="332"/>
        <w:spacing w:after="0" w:line="283" w:lineRule="auto"/>
        <w:tabs>
          <w:tab w:leader="none" w:pos="332"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At December 31, 2025, includes one industrial senior loan which was placed on nonaccrual status on September 9, 2025, with a carrying value of $22.0 million and an office mezzanine loan which was placed on nonaccrual status on April 1, 2024, with a carrying value of $14.7 million. Subsequent to December 31, 2025, the industrial loan was resolved.</w:t>
      </w:r>
    </w:p>
    <w:p>
      <w:pPr>
        <w:spacing w:after="0" w:line="19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 of September 30, 2026, all loans were performing in accordance with the contractual terms of their governing documents and were categorized as performing loans, except one nonaccrual office mezzanine loan and two multifamily senior loans. The multifamily senior loans in maturity default were extended in October 2026. As of December 31, 2025, all loans were performing in accordance with the contractual terms of their governing documents and were categorized as performing loans, except for one nonaccrual industrial senior loan and one nonaccrual office mezzanine loan. For the nine months ended September 30, 2026, and September 30, 2025, no debt investment individually contributed more than 10.0% of interest income.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9380" w:type="dxa"/>
            <w:vAlign w:val="bottom"/>
          </w:tcPr>
          <w:p>
            <w:pPr>
              <w:jc w:val="center"/>
              <w:ind w:left="1778"/>
              <w:spacing w:after="0"/>
              <w:rPr>
                <w:sz w:val="20"/>
                <w:szCs w:val="20"/>
                <w:color w:val="auto"/>
              </w:rPr>
            </w:pPr>
            <w:r>
              <w:rPr>
                <w:rFonts w:ascii="Times New Roman" w:cs="Times New Roman" w:eastAsia="Times New Roman" w:hAnsi="Times New Roman"/>
                <w:sz w:val="18"/>
                <w:szCs w:val="18"/>
                <w:b w:val="1"/>
                <w:bCs w:val="1"/>
                <w:color w:val="auto"/>
                <w:w w:val="99"/>
              </w:rPr>
              <w:t>BRIGHTSPIRE CAPITAL, INC.</w:t>
            </w:r>
          </w:p>
        </w:tc>
        <w:tc>
          <w:tcPr>
            <w:tcW w:w="6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9380" w:type="dxa"/>
            <w:vAlign w:val="bottom"/>
          </w:tcPr>
          <w:p>
            <w:pPr>
              <w:jc w:val="center"/>
              <w:ind w:left="1778"/>
              <w:spacing w:after="0"/>
              <w:rPr>
                <w:sz w:val="20"/>
                <w:szCs w:val="20"/>
                <w:color w:val="auto"/>
              </w:rPr>
            </w:pPr>
            <w:r>
              <w:rPr>
                <w:rFonts w:ascii="Times New Roman" w:cs="Times New Roman" w:eastAsia="Times New Roman" w:hAnsi="Times New Roman"/>
                <w:sz w:val="18"/>
                <w:szCs w:val="18"/>
                <w:b w:val="1"/>
                <w:bCs w:val="1"/>
                <w:color w:val="auto"/>
                <w:w w:val="99"/>
              </w:rPr>
              <w:t>NOTES TO CONSOLIDATED FINANCIAL STATEMENTS (Continued)</w:t>
            </w:r>
          </w:p>
        </w:tc>
        <w:tc>
          <w:tcPr>
            <w:tcW w:w="6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9380" w:type="dxa"/>
            <w:vAlign w:val="bottom"/>
          </w:tcPr>
          <w:p>
            <w:pPr>
              <w:jc w:val="center"/>
              <w:ind w:left="1778"/>
              <w:spacing w:after="0"/>
              <w:rPr>
                <w:sz w:val="20"/>
                <w:szCs w:val="20"/>
                <w:color w:val="auto"/>
              </w:rPr>
            </w:pPr>
            <w:r>
              <w:rPr>
                <w:rFonts w:ascii="Times New Roman" w:cs="Times New Roman" w:eastAsia="Times New Roman" w:hAnsi="Times New Roman"/>
                <w:sz w:val="18"/>
                <w:szCs w:val="18"/>
                <w:b w:val="1"/>
                <w:bCs w:val="1"/>
                <w:color w:val="auto"/>
                <w:w w:val="98"/>
              </w:rPr>
              <w:t>(Unaudited)</w:t>
            </w:r>
          </w:p>
        </w:tc>
        <w:tc>
          <w:tcPr>
            <w:tcW w:w="6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67"/>
        </w:trPr>
        <w:tc>
          <w:tcPr>
            <w:tcW w:w="938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Current Expected Credit Loss Reserve</w:t>
            </w:r>
          </w:p>
        </w:tc>
        <w:tc>
          <w:tcPr>
            <w:tcW w:w="6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4"/>
        </w:trPr>
        <w:tc>
          <w:tcPr>
            <w:tcW w:w="9380" w:type="dxa"/>
            <w:vAlign w:val="bottom"/>
          </w:tcPr>
          <w:p>
            <w:pPr>
              <w:spacing w:after="0"/>
              <w:rPr>
                <w:sz w:val="20"/>
                <w:szCs w:val="20"/>
                <w:color w:val="auto"/>
              </w:rPr>
            </w:pPr>
            <w:r>
              <w:rPr>
                <w:rFonts w:ascii="Times New Roman" w:cs="Times New Roman" w:eastAsia="Times New Roman" w:hAnsi="Times New Roman"/>
                <w:sz w:val="18"/>
                <w:szCs w:val="18"/>
                <w:color w:val="auto"/>
              </w:rPr>
              <w:t>The following table provides details on the changes in CECL reserves (dollars in thousands):</w:t>
            </w:r>
          </w:p>
        </w:tc>
        <w:tc>
          <w:tcPr>
            <w:tcW w:w="6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93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9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CECL reserve at December 31, 2025</w:t>
            </w:r>
          </w:p>
        </w:tc>
        <w:tc>
          <w:tcPr>
            <w:tcW w:w="620" w:type="dxa"/>
            <w:vAlign w:val="bottom"/>
            <w:shd w:val="clear" w:color="auto" w:fill="CCEEFF"/>
          </w:tcPr>
          <w:p>
            <w:pPr>
              <w:jc w:val="right"/>
              <w:ind w:right="43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87,401</w:t>
            </w:r>
          </w:p>
        </w:tc>
        <w:tc>
          <w:tcPr>
            <w:tcW w:w="0" w:type="dxa"/>
            <w:vAlign w:val="bottom"/>
          </w:tcPr>
          <w:p>
            <w:pPr>
              <w:spacing w:after="0"/>
              <w:rPr>
                <w:sz w:val="1"/>
                <w:szCs w:val="1"/>
                <w:color w:val="auto"/>
              </w:rPr>
            </w:pPr>
          </w:p>
        </w:tc>
      </w:tr>
      <w:tr>
        <w:trPr>
          <w:trHeight w:val="229"/>
        </w:trPr>
        <w:tc>
          <w:tcPr>
            <w:tcW w:w="9380" w:type="dxa"/>
            <w:vAlign w:val="bottom"/>
          </w:tcPr>
          <w:p>
            <w:pPr>
              <w:ind w:left="220"/>
              <w:spacing w:after="0" w:line="230" w:lineRule="exact"/>
              <w:rPr>
                <w:sz w:val="20"/>
                <w:szCs w:val="20"/>
                <w:color w:val="auto"/>
              </w:rPr>
            </w:pPr>
            <w:r>
              <w:rPr>
                <w:rFonts w:ascii="Times New Roman" w:cs="Times New Roman" w:eastAsia="Times New Roman" w:hAnsi="Times New Roman"/>
                <w:sz w:val="16"/>
                <w:szCs w:val="16"/>
                <w:color w:val="auto"/>
              </w:rPr>
              <w:t>Decrease in general CECL reserve</w:t>
            </w:r>
            <w:r>
              <w:rPr>
                <w:rFonts w:ascii="Times New Roman" w:cs="Times New Roman" w:eastAsia="Times New Roman" w:hAnsi="Times New Roman"/>
                <w:sz w:val="21"/>
                <w:szCs w:val="21"/>
                <w:color w:val="auto"/>
                <w:vertAlign w:val="superscript"/>
              </w:rPr>
              <w:t>(1)</w:t>
            </w:r>
          </w:p>
        </w:tc>
        <w:tc>
          <w:tcPr>
            <w:tcW w:w="6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(2,085)</w:t>
            </w:r>
          </w:p>
        </w:tc>
        <w:tc>
          <w:tcPr>
            <w:tcW w:w="0" w:type="dxa"/>
            <w:vAlign w:val="bottom"/>
          </w:tcPr>
          <w:p>
            <w:pPr>
              <w:spacing w:after="0"/>
              <w:rPr>
                <w:sz w:val="1"/>
                <w:szCs w:val="1"/>
                <w:color w:val="auto"/>
              </w:rPr>
            </w:pPr>
          </w:p>
        </w:tc>
      </w:tr>
      <w:tr>
        <w:trPr>
          <w:trHeight w:val="230"/>
        </w:trPr>
        <w:tc>
          <w:tcPr>
            <w:tcW w:w="9380" w:type="dxa"/>
            <w:vAlign w:val="bottom"/>
            <w:shd w:val="clear" w:color="auto" w:fill="CCEEFF"/>
          </w:tcPr>
          <w:p>
            <w:pPr>
              <w:ind w:left="220"/>
              <w:spacing w:after="0" w:line="230" w:lineRule="exact"/>
              <w:rPr>
                <w:sz w:val="20"/>
                <w:szCs w:val="20"/>
                <w:color w:val="auto"/>
              </w:rPr>
            </w:pPr>
            <w:r>
              <w:rPr>
                <w:rFonts w:ascii="Times New Roman" w:cs="Times New Roman" w:eastAsia="Times New Roman" w:hAnsi="Times New Roman"/>
                <w:sz w:val="16"/>
                <w:szCs w:val="16"/>
                <w:color w:val="auto"/>
              </w:rPr>
              <w:t>Increase in specific CECL reserve</w:t>
            </w:r>
            <w:r>
              <w:rPr>
                <w:rFonts w:ascii="Times New Roman" w:cs="Times New Roman" w:eastAsia="Times New Roman" w:hAnsi="Times New Roman"/>
                <w:sz w:val="21"/>
                <w:szCs w:val="21"/>
                <w:color w:val="auto"/>
                <w:vertAlign w:val="superscript"/>
              </w:rPr>
              <w:t>(2)</w:t>
            </w:r>
          </w:p>
        </w:tc>
        <w:tc>
          <w:tcPr>
            <w:tcW w:w="6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2,639</w:t>
            </w:r>
          </w:p>
        </w:tc>
        <w:tc>
          <w:tcPr>
            <w:tcW w:w="0" w:type="dxa"/>
            <w:vAlign w:val="bottom"/>
          </w:tcPr>
          <w:p>
            <w:pPr>
              <w:spacing w:after="0"/>
              <w:rPr>
                <w:sz w:val="1"/>
                <w:szCs w:val="1"/>
                <w:color w:val="auto"/>
              </w:rPr>
            </w:pPr>
          </w:p>
        </w:tc>
      </w:tr>
      <w:tr>
        <w:trPr>
          <w:trHeight w:val="229"/>
        </w:trPr>
        <w:tc>
          <w:tcPr>
            <w:tcW w:w="9380" w:type="dxa"/>
            <w:vAlign w:val="bottom"/>
            <w:tcBorders>
              <w:bottom w:val="single" w:sz="8" w:color="CCEEFF"/>
            </w:tcBorders>
          </w:tcPr>
          <w:p>
            <w:pPr>
              <w:ind w:left="220"/>
              <w:spacing w:after="0" w:line="230" w:lineRule="exact"/>
              <w:rPr>
                <w:sz w:val="20"/>
                <w:szCs w:val="20"/>
                <w:color w:val="auto"/>
              </w:rPr>
            </w:pPr>
            <w:r>
              <w:rPr>
                <w:rFonts w:ascii="Times New Roman" w:cs="Times New Roman" w:eastAsia="Times New Roman" w:hAnsi="Times New Roman"/>
                <w:sz w:val="16"/>
                <w:szCs w:val="16"/>
                <w:color w:val="auto"/>
              </w:rPr>
              <w:t>Charge-off of CECL reserve - other</w:t>
            </w:r>
            <w:r>
              <w:rPr>
                <w:rFonts w:ascii="Times New Roman" w:cs="Times New Roman" w:eastAsia="Times New Roman" w:hAnsi="Times New Roman"/>
                <w:sz w:val="21"/>
                <w:szCs w:val="21"/>
                <w:color w:val="auto"/>
                <w:vertAlign w:val="superscript"/>
              </w:rPr>
              <w:t>(2)</w:t>
            </w:r>
          </w:p>
        </w:tc>
        <w:tc>
          <w:tcPr>
            <w:tcW w:w="6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(2,639)</w:t>
            </w:r>
          </w:p>
        </w:tc>
        <w:tc>
          <w:tcPr>
            <w:tcW w:w="0" w:type="dxa"/>
            <w:vAlign w:val="bottom"/>
          </w:tcPr>
          <w:p>
            <w:pPr>
              <w:spacing w:after="0"/>
              <w:rPr>
                <w:sz w:val="1"/>
                <w:szCs w:val="1"/>
                <w:color w:val="auto"/>
              </w:rPr>
            </w:pPr>
          </w:p>
        </w:tc>
      </w:tr>
      <w:tr>
        <w:trPr>
          <w:trHeight w:val="248"/>
        </w:trPr>
        <w:tc>
          <w:tcPr>
            <w:tcW w:w="93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CECL reserve at March 31, 2026</w:t>
            </w:r>
          </w:p>
        </w:tc>
        <w:tc>
          <w:tcPr>
            <w:tcW w:w="620" w:type="dxa"/>
            <w:vAlign w:val="bottom"/>
            <w:tcBorders>
              <w:bottom w:val="single" w:sz="8" w:color="auto"/>
            </w:tcBorders>
            <w:shd w:val="clear" w:color="auto" w:fill="CCEEFF"/>
          </w:tcPr>
          <w:p>
            <w:pPr>
              <w:jc w:val="right"/>
              <w:ind w:right="43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85,316</w:t>
            </w:r>
          </w:p>
        </w:tc>
        <w:tc>
          <w:tcPr>
            <w:tcW w:w="0" w:type="dxa"/>
            <w:vAlign w:val="bottom"/>
          </w:tcPr>
          <w:p>
            <w:pPr>
              <w:spacing w:after="0"/>
              <w:rPr>
                <w:sz w:val="1"/>
                <w:szCs w:val="1"/>
                <w:color w:val="auto"/>
              </w:rPr>
            </w:pPr>
          </w:p>
        </w:tc>
      </w:tr>
      <w:tr>
        <w:trPr>
          <w:trHeight w:val="20"/>
        </w:trPr>
        <w:tc>
          <w:tcPr>
            <w:tcW w:w="9380" w:type="dxa"/>
            <w:vAlign w:val="bottom"/>
            <w:tcBorders>
              <w:top w:val="single" w:sz="8" w:color="CCEEFF"/>
              <w:bottom w:val="single" w:sz="8" w:color="CCEEFF"/>
            </w:tcBorders>
            <w:vMerge w:val="restart"/>
          </w:tcPr>
          <w:p>
            <w:pPr>
              <w:ind w:left="180"/>
              <w:spacing w:after="0"/>
              <w:rPr>
                <w:sz w:val="20"/>
                <w:szCs w:val="20"/>
                <w:color w:val="auto"/>
              </w:rPr>
            </w:pPr>
            <w:r>
              <w:rPr>
                <w:rFonts w:ascii="Times New Roman" w:cs="Times New Roman" w:eastAsia="Times New Roman" w:hAnsi="Times New Roman"/>
                <w:sz w:val="16"/>
                <w:szCs w:val="16"/>
                <w:color w:val="auto"/>
              </w:rPr>
              <w:t>Increase in general CECL reserve</w:t>
            </w:r>
            <w:r>
              <w:rPr>
                <w:rFonts w:ascii="Times New Roman" w:cs="Times New Roman" w:eastAsia="Times New Roman" w:hAnsi="Times New Roman"/>
                <w:sz w:val="21"/>
                <w:szCs w:val="21"/>
                <w:color w:val="auto"/>
                <w:vertAlign w:val="superscript"/>
              </w:rPr>
              <w:t>(1)</w:t>
            </w: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9380" w:type="dxa"/>
            <w:vAlign w:val="bottom"/>
            <w:vMerge w:val="continue"/>
          </w:tcPr>
          <w:p>
            <w:pPr>
              <w:spacing w:after="0"/>
              <w:rPr>
                <w:sz w:val="17"/>
                <w:szCs w:val="17"/>
                <w:color w:val="auto"/>
              </w:rPr>
            </w:pPr>
          </w:p>
        </w:tc>
        <w:tc>
          <w:tcPr>
            <w:tcW w:w="620" w:type="dxa"/>
            <w:vAlign w:val="bottom"/>
          </w:tcPr>
          <w:p>
            <w:pPr>
              <w:jc w:val="right"/>
              <w:ind w:right="43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13,342</w:t>
            </w:r>
          </w:p>
        </w:tc>
        <w:tc>
          <w:tcPr>
            <w:tcW w:w="0" w:type="dxa"/>
            <w:vAlign w:val="bottom"/>
          </w:tcPr>
          <w:p>
            <w:pPr>
              <w:spacing w:after="0"/>
              <w:rPr>
                <w:sz w:val="1"/>
                <w:szCs w:val="1"/>
                <w:color w:val="auto"/>
              </w:rPr>
            </w:pPr>
          </w:p>
        </w:tc>
      </w:tr>
      <w:tr>
        <w:trPr>
          <w:trHeight w:val="229"/>
        </w:trPr>
        <w:tc>
          <w:tcPr>
            <w:tcW w:w="9380" w:type="dxa"/>
            <w:vAlign w:val="bottom"/>
            <w:shd w:val="clear" w:color="auto" w:fill="CCEEFF"/>
          </w:tcPr>
          <w:p>
            <w:pPr>
              <w:ind w:left="180"/>
              <w:spacing w:after="0" w:line="230" w:lineRule="exact"/>
              <w:rPr>
                <w:sz w:val="20"/>
                <w:szCs w:val="20"/>
                <w:color w:val="auto"/>
              </w:rPr>
            </w:pPr>
            <w:r>
              <w:rPr>
                <w:rFonts w:ascii="Times New Roman" w:cs="Times New Roman" w:eastAsia="Times New Roman" w:hAnsi="Times New Roman"/>
                <w:sz w:val="16"/>
                <w:szCs w:val="16"/>
                <w:color w:val="auto"/>
              </w:rPr>
              <w:t>Increase in specific CECL reserve</w:t>
            </w:r>
            <w:r>
              <w:rPr>
                <w:rFonts w:ascii="Times New Roman" w:cs="Times New Roman" w:eastAsia="Times New Roman" w:hAnsi="Times New Roman"/>
                <w:sz w:val="21"/>
                <w:szCs w:val="21"/>
                <w:color w:val="auto"/>
                <w:vertAlign w:val="superscript"/>
              </w:rPr>
              <w:t>(2)</w:t>
            </w:r>
          </w:p>
        </w:tc>
        <w:tc>
          <w:tcPr>
            <w:tcW w:w="6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987</w:t>
            </w:r>
          </w:p>
        </w:tc>
        <w:tc>
          <w:tcPr>
            <w:tcW w:w="0" w:type="dxa"/>
            <w:vAlign w:val="bottom"/>
          </w:tcPr>
          <w:p>
            <w:pPr>
              <w:spacing w:after="0"/>
              <w:rPr>
                <w:sz w:val="1"/>
                <w:szCs w:val="1"/>
                <w:color w:val="auto"/>
              </w:rPr>
            </w:pPr>
          </w:p>
        </w:tc>
      </w:tr>
      <w:tr>
        <w:trPr>
          <w:trHeight w:val="230"/>
        </w:trPr>
        <w:tc>
          <w:tcPr>
            <w:tcW w:w="9380" w:type="dxa"/>
            <w:vAlign w:val="bottom"/>
            <w:tcBorders>
              <w:bottom w:val="single" w:sz="8" w:color="CCEEFF"/>
            </w:tcBorders>
          </w:tcPr>
          <w:p>
            <w:pPr>
              <w:ind w:left="180"/>
              <w:spacing w:after="0" w:line="230" w:lineRule="exact"/>
              <w:rPr>
                <w:sz w:val="20"/>
                <w:szCs w:val="20"/>
                <w:color w:val="auto"/>
              </w:rPr>
            </w:pPr>
            <w:r>
              <w:rPr>
                <w:rFonts w:ascii="Times New Roman" w:cs="Times New Roman" w:eastAsia="Times New Roman" w:hAnsi="Times New Roman"/>
                <w:sz w:val="16"/>
                <w:szCs w:val="16"/>
                <w:color w:val="auto"/>
              </w:rPr>
              <w:t>Charge-offs of CECL reserve - other</w:t>
            </w:r>
            <w:r>
              <w:rPr>
                <w:rFonts w:ascii="Times New Roman" w:cs="Times New Roman" w:eastAsia="Times New Roman" w:hAnsi="Times New Roman"/>
                <w:sz w:val="21"/>
                <w:szCs w:val="21"/>
                <w:color w:val="auto"/>
                <w:vertAlign w:val="superscript"/>
              </w:rPr>
              <w:t>(2)</w:t>
            </w:r>
          </w:p>
        </w:tc>
        <w:tc>
          <w:tcPr>
            <w:tcW w:w="6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(987)</w:t>
            </w:r>
          </w:p>
        </w:tc>
        <w:tc>
          <w:tcPr>
            <w:tcW w:w="0" w:type="dxa"/>
            <w:vAlign w:val="bottom"/>
          </w:tcPr>
          <w:p>
            <w:pPr>
              <w:spacing w:after="0"/>
              <w:rPr>
                <w:sz w:val="1"/>
                <w:szCs w:val="1"/>
                <w:color w:val="auto"/>
              </w:rPr>
            </w:pPr>
          </w:p>
        </w:tc>
      </w:tr>
      <w:tr>
        <w:trPr>
          <w:trHeight w:val="248"/>
        </w:trPr>
        <w:tc>
          <w:tcPr>
            <w:tcW w:w="93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CECL reserve at June 30, 2026</w:t>
            </w:r>
          </w:p>
        </w:tc>
        <w:tc>
          <w:tcPr>
            <w:tcW w:w="620" w:type="dxa"/>
            <w:vAlign w:val="bottom"/>
            <w:tcBorders>
              <w:bottom w:val="single" w:sz="8" w:color="auto"/>
            </w:tcBorders>
            <w:shd w:val="clear" w:color="auto" w:fill="CCEEFF"/>
          </w:tcPr>
          <w:p>
            <w:pPr>
              <w:jc w:val="right"/>
              <w:ind w:right="43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98,658</w:t>
            </w:r>
          </w:p>
        </w:tc>
        <w:tc>
          <w:tcPr>
            <w:tcW w:w="0" w:type="dxa"/>
            <w:vAlign w:val="bottom"/>
          </w:tcPr>
          <w:p>
            <w:pPr>
              <w:spacing w:after="0"/>
              <w:rPr>
                <w:sz w:val="1"/>
                <w:szCs w:val="1"/>
                <w:color w:val="auto"/>
              </w:rPr>
            </w:pPr>
          </w:p>
        </w:tc>
      </w:tr>
      <w:tr>
        <w:trPr>
          <w:trHeight w:val="20"/>
        </w:trPr>
        <w:tc>
          <w:tcPr>
            <w:tcW w:w="9380" w:type="dxa"/>
            <w:vAlign w:val="bottom"/>
            <w:tcBorders>
              <w:top w:val="single" w:sz="8" w:color="CCEEFF"/>
              <w:bottom w:val="single" w:sz="8" w:color="CCEEFF"/>
            </w:tcBorders>
            <w:vMerge w:val="restart"/>
          </w:tcPr>
          <w:p>
            <w:pPr>
              <w:ind w:left="180"/>
              <w:spacing w:after="0"/>
              <w:rPr>
                <w:sz w:val="20"/>
                <w:szCs w:val="20"/>
                <w:color w:val="auto"/>
              </w:rPr>
            </w:pPr>
            <w:r>
              <w:rPr>
                <w:rFonts w:ascii="Times New Roman" w:cs="Times New Roman" w:eastAsia="Times New Roman" w:hAnsi="Times New Roman"/>
                <w:sz w:val="16"/>
                <w:szCs w:val="16"/>
                <w:color w:val="auto"/>
              </w:rPr>
              <w:t>Increase in general CECL reserve</w:t>
            </w:r>
            <w:r>
              <w:rPr>
                <w:rFonts w:ascii="Times New Roman" w:cs="Times New Roman" w:eastAsia="Times New Roman" w:hAnsi="Times New Roman"/>
                <w:sz w:val="21"/>
                <w:szCs w:val="21"/>
                <w:color w:val="auto"/>
                <w:vertAlign w:val="superscript"/>
              </w:rPr>
              <w:t>(1)</w:t>
            </w: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9380" w:type="dxa"/>
            <w:vAlign w:val="bottom"/>
            <w:vMerge w:val="continue"/>
          </w:tcPr>
          <w:p>
            <w:pPr>
              <w:spacing w:after="0"/>
              <w:rPr>
                <w:sz w:val="17"/>
                <w:szCs w:val="17"/>
                <w:color w:val="auto"/>
              </w:rPr>
            </w:pPr>
          </w:p>
        </w:tc>
        <w:tc>
          <w:tcPr>
            <w:tcW w:w="620" w:type="dxa"/>
            <w:vAlign w:val="bottom"/>
          </w:tcPr>
          <w:p>
            <w:pPr>
              <w:jc w:val="right"/>
              <w:ind w:right="43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7,659</w:t>
            </w:r>
          </w:p>
        </w:tc>
        <w:tc>
          <w:tcPr>
            <w:tcW w:w="0" w:type="dxa"/>
            <w:vAlign w:val="bottom"/>
          </w:tcPr>
          <w:p>
            <w:pPr>
              <w:spacing w:after="0"/>
              <w:rPr>
                <w:sz w:val="1"/>
                <w:szCs w:val="1"/>
                <w:color w:val="auto"/>
              </w:rPr>
            </w:pPr>
          </w:p>
        </w:tc>
      </w:tr>
      <w:tr>
        <w:trPr>
          <w:trHeight w:val="230"/>
        </w:trPr>
        <w:tc>
          <w:tcPr>
            <w:tcW w:w="9380" w:type="dxa"/>
            <w:vAlign w:val="bottom"/>
            <w:shd w:val="clear" w:color="auto" w:fill="CCEEFF"/>
          </w:tcPr>
          <w:p>
            <w:pPr>
              <w:ind w:left="180"/>
              <w:spacing w:after="0" w:line="230" w:lineRule="exact"/>
              <w:rPr>
                <w:sz w:val="20"/>
                <w:szCs w:val="20"/>
                <w:color w:val="auto"/>
              </w:rPr>
            </w:pPr>
            <w:r>
              <w:rPr>
                <w:rFonts w:ascii="Times New Roman" w:cs="Times New Roman" w:eastAsia="Times New Roman" w:hAnsi="Times New Roman"/>
                <w:sz w:val="16"/>
                <w:szCs w:val="16"/>
                <w:color w:val="auto"/>
              </w:rPr>
              <w:t>Increase in specific CECL reserve</w:t>
            </w:r>
            <w:r>
              <w:rPr>
                <w:rFonts w:ascii="Times New Roman" w:cs="Times New Roman" w:eastAsia="Times New Roman" w:hAnsi="Times New Roman"/>
                <w:sz w:val="21"/>
                <w:szCs w:val="21"/>
                <w:color w:val="auto"/>
                <w:vertAlign w:val="superscript"/>
              </w:rPr>
              <w:t>(2)</w:t>
            </w:r>
          </w:p>
        </w:tc>
        <w:tc>
          <w:tcPr>
            <w:tcW w:w="6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7,490</w:t>
            </w:r>
          </w:p>
        </w:tc>
        <w:tc>
          <w:tcPr>
            <w:tcW w:w="0" w:type="dxa"/>
            <w:vAlign w:val="bottom"/>
          </w:tcPr>
          <w:p>
            <w:pPr>
              <w:spacing w:after="0"/>
              <w:rPr>
                <w:sz w:val="1"/>
                <w:szCs w:val="1"/>
                <w:color w:val="auto"/>
              </w:rPr>
            </w:pPr>
          </w:p>
        </w:tc>
      </w:tr>
      <w:tr>
        <w:trPr>
          <w:trHeight w:val="229"/>
        </w:trPr>
        <w:tc>
          <w:tcPr>
            <w:tcW w:w="9380" w:type="dxa"/>
            <w:vAlign w:val="bottom"/>
            <w:tcBorders>
              <w:bottom w:val="single" w:sz="8" w:color="CCEEFF"/>
            </w:tcBorders>
          </w:tcPr>
          <w:p>
            <w:pPr>
              <w:ind w:left="180"/>
              <w:spacing w:after="0" w:line="230" w:lineRule="exact"/>
              <w:rPr>
                <w:sz w:val="20"/>
                <w:szCs w:val="20"/>
                <w:color w:val="auto"/>
              </w:rPr>
            </w:pPr>
            <w:r>
              <w:rPr>
                <w:rFonts w:ascii="Times New Roman" w:cs="Times New Roman" w:eastAsia="Times New Roman" w:hAnsi="Times New Roman"/>
                <w:sz w:val="16"/>
                <w:szCs w:val="16"/>
                <w:color w:val="auto"/>
              </w:rPr>
              <w:t>Charge-offs of CECL reserve - other</w:t>
            </w:r>
            <w:r>
              <w:rPr>
                <w:rFonts w:ascii="Times New Roman" w:cs="Times New Roman" w:eastAsia="Times New Roman" w:hAnsi="Times New Roman"/>
                <w:sz w:val="21"/>
                <w:szCs w:val="21"/>
                <w:color w:val="auto"/>
                <w:vertAlign w:val="superscript"/>
              </w:rPr>
              <w:t>(2)</w:t>
            </w:r>
          </w:p>
        </w:tc>
        <w:tc>
          <w:tcPr>
            <w:tcW w:w="6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(7,490)</w:t>
            </w:r>
          </w:p>
        </w:tc>
        <w:tc>
          <w:tcPr>
            <w:tcW w:w="0" w:type="dxa"/>
            <w:vAlign w:val="bottom"/>
          </w:tcPr>
          <w:p>
            <w:pPr>
              <w:spacing w:after="0"/>
              <w:rPr>
                <w:sz w:val="1"/>
                <w:szCs w:val="1"/>
                <w:color w:val="auto"/>
              </w:rPr>
            </w:pPr>
          </w:p>
        </w:tc>
      </w:tr>
      <w:tr>
        <w:trPr>
          <w:trHeight w:val="248"/>
        </w:trPr>
        <w:tc>
          <w:tcPr>
            <w:tcW w:w="93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CECL reserve at September 30, 2026</w:t>
            </w:r>
          </w:p>
        </w:tc>
        <w:tc>
          <w:tcPr>
            <w:tcW w:w="620" w:type="dxa"/>
            <w:vAlign w:val="bottom"/>
            <w:tcBorders>
              <w:bottom w:val="single" w:sz="8" w:color="auto"/>
            </w:tcBorders>
            <w:shd w:val="clear" w:color="auto" w:fill="CCEEFF"/>
          </w:tcPr>
          <w:p>
            <w:pPr>
              <w:jc w:val="right"/>
              <w:ind w:right="43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106,317</w:t>
            </w:r>
          </w:p>
        </w:tc>
        <w:tc>
          <w:tcPr>
            <w:tcW w:w="0" w:type="dxa"/>
            <w:vAlign w:val="bottom"/>
          </w:tcPr>
          <w:p>
            <w:pPr>
              <w:spacing w:after="0"/>
              <w:rPr>
                <w:sz w:val="1"/>
                <w:szCs w:val="1"/>
                <w:color w:val="auto"/>
              </w:rPr>
            </w:pPr>
          </w:p>
        </w:tc>
      </w:tr>
      <w:tr>
        <w:trPr>
          <w:trHeight w:val="20"/>
        </w:trPr>
        <w:tc>
          <w:tcPr>
            <w:tcW w:w="938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93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9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CECL reserve at December 31, 2024</w:t>
            </w:r>
          </w:p>
        </w:tc>
        <w:tc>
          <w:tcPr>
            <w:tcW w:w="620" w:type="dxa"/>
            <w:vAlign w:val="bottom"/>
            <w:shd w:val="clear" w:color="auto" w:fill="CCEEFF"/>
          </w:tcPr>
          <w:p>
            <w:pPr>
              <w:jc w:val="right"/>
              <w:ind w:right="43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165,932</w:t>
            </w:r>
          </w:p>
        </w:tc>
        <w:tc>
          <w:tcPr>
            <w:tcW w:w="0" w:type="dxa"/>
            <w:vAlign w:val="bottom"/>
          </w:tcPr>
          <w:p>
            <w:pPr>
              <w:spacing w:after="0"/>
              <w:rPr>
                <w:sz w:val="1"/>
                <w:szCs w:val="1"/>
                <w:color w:val="auto"/>
              </w:rPr>
            </w:pPr>
          </w:p>
        </w:tc>
      </w:tr>
      <w:tr>
        <w:trPr>
          <w:trHeight w:val="230"/>
        </w:trPr>
        <w:tc>
          <w:tcPr>
            <w:tcW w:w="9380" w:type="dxa"/>
            <w:vAlign w:val="bottom"/>
          </w:tcPr>
          <w:p>
            <w:pPr>
              <w:ind w:left="180"/>
              <w:spacing w:after="0" w:line="230" w:lineRule="exact"/>
              <w:rPr>
                <w:sz w:val="20"/>
                <w:szCs w:val="20"/>
                <w:color w:val="auto"/>
              </w:rPr>
            </w:pPr>
            <w:r>
              <w:rPr>
                <w:rFonts w:ascii="Times New Roman" w:cs="Times New Roman" w:eastAsia="Times New Roman" w:hAnsi="Times New Roman"/>
                <w:sz w:val="16"/>
                <w:szCs w:val="16"/>
                <w:color w:val="auto"/>
              </w:rPr>
              <w:t>Decrease in general CECL reserve</w:t>
            </w:r>
            <w:r>
              <w:rPr>
                <w:rFonts w:ascii="Times New Roman" w:cs="Times New Roman" w:eastAsia="Times New Roman" w:hAnsi="Times New Roman"/>
                <w:sz w:val="21"/>
                <w:szCs w:val="21"/>
                <w:color w:val="auto"/>
                <w:vertAlign w:val="superscript"/>
              </w:rPr>
              <w:t>(1)</w:t>
            </w:r>
          </w:p>
        </w:tc>
        <w:tc>
          <w:tcPr>
            <w:tcW w:w="6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(9,524)</w:t>
            </w:r>
          </w:p>
        </w:tc>
        <w:tc>
          <w:tcPr>
            <w:tcW w:w="0" w:type="dxa"/>
            <w:vAlign w:val="bottom"/>
          </w:tcPr>
          <w:p>
            <w:pPr>
              <w:spacing w:after="0"/>
              <w:rPr>
                <w:sz w:val="1"/>
                <w:szCs w:val="1"/>
                <w:color w:val="auto"/>
              </w:rPr>
            </w:pPr>
          </w:p>
        </w:tc>
      </w:tr>
      <w:tr>
        <w:trPr>
          <w:trHeight w:val="229"/>
        </w:trPr>
        <w:tc>
          <w:tcPr>
            <w:tcW w:w="9380" w:type="dxa"/>
            <w:vAlign w:val="bottom"/>
            <w:shd w:val="clear" w:color="auto" w:fill="CCEEFF"/>
          </w:tcPr>
          <w:p>
            <w:pPr>
              <w:ind w:left="180"/>
              <w:spacing w:after="0" w:line="230" w:lineRule="exact"/>
              <w:rPr>
                <w:sz w:val="20"/>
                <w:szCs w:val="20"/>
                <w:color w:val="auto"/>
              </w:rPr>
            </w:pPr>
            <w:r>
              <w:rPr>
                <w:rFonts w:ascii="Times New Roman" w:cs="Times New Roman" w:eastAsia="Times New Roman" w:hAnsi="Times New Roman"/>
                <w:sz w:val="16"/>
                <w:szCs w:val="16"/>
                <w:color w:val="auto"/>
              </w:rPr>
              <w:t>Increase in specific CECL reserve</w:t>
            </w:r>
            <w:r>
              <w:rPr>
                <w:rFonts w:ascii="Times New Roman" w:cs="Times New Roman" w:eastAsia="Times New Roman" w:hAnsi="Times New Roman"/>
                <w:sz w:val="21"/>
                <w:szCs w:val="21"/>
                <w:color w:val="auto"/>
                <w:vertAlign w:val="superscript"/>
              </w:rPr>
              <w:t>(2)</w:t>
            </w:r>
          </w:p>
        </w:tc>
        <w:tc>
          <w:tcPr>
            <w:tcW w:w="6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9,174</w:t>
            </w:r>
          </w:p>
        </w:tc>
        <w:tc>
          <w:tcPr>
            <w:tcW w:w="0" w:type="dxa"/>
            <w:vAlign w:val="bottom"/>
          </w:tcPr>
          <w:p>
            <w:pPr>
              <w:spacing w:after="0"/>
              <w:rPr>
                <w:sz w:val="1"/>
                <w:szCs w:val="1"/>
                <w:color w:val="auto"/>
              </w:rPr>
            </w:pPr>
          </w:p>
        </w:tc>
      </w:tr>
      <w:tr>
        <w:trPr>
          <w:trHeight w:val="229"/>
        </w:trPr>
        <w:tc>
          <w:tcPr>
            <w:tcW w:w="9380" w:type="dxa"/>
            <w:vAlign w:val="bottom"/>
          </w:tcPr>
          <w:p>
            <w:pPr>
              <w:ind w:left="180"/>
              <w:spacing w:after="0" w:line="230" w:lineRule="exact"/>
              <w:rPr>
                <w:sz w:val="20"/>
                <w:szCs w:val="20"/>
                <w:color w:val="auto"/>
              </w:rPr>
            </w:pPr>
            <w:r>
              <w:rPr>
                <w:rFonts w:ascii="Times New Roman" w:cs="Times New Roman" w:eastAsia="Times New Roman" w:hAnsi="Times New Roman"/>
                <w:sz w:val="16"/>
                <w:szCs w:val="16"/>
                <w:color w:val="auto"/>
              </w:rPr>
              <w:t>Charge-offs of CECL reserve - other</w:t>
            </w:r>
            <w:r>
              <w:rPr>
                <w:rFonts w:ascii="Times New Roman" w:cs="Times New Roman" w:eastAsia="Times New Roman" w:hAnsi="Times New Roman"/>
                <w:sz w:val="21"/>
                <w:szCs w:val="21"/>
                <w:color w:val="auto"/>
                <w:vertAlign w:val="superscript"/>
              </w:rPr>
              <w:t>(2)</w:t>
            </w:r>
          </w:p>
        </w:tc>
        <w:tc>
          <w:tcPr>
            <w:tcW w:w="6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(9,174)</w:t>
            </w:r>
          </w:p>
        </w:tc>
        <w:tc>
          <w:tcPr>
            <w:tcW w:w="0" w:type="dxa"/>
            <w:vAlign w:val="bottom"/>
          </w:tcPr>
          <w:p>
            <w:pPr>
              <w:spacing w:after="0"/>
              <w:rPr>
                <w:sz w:val="1"/>
                <w:szCs w:val="1"/>
                <w:color w:val="auto"/>
              </w:rPr>
            </w:pPr>
          </w:p>
        </w:tc>
      </w:tr>
      <w:tr>
        <w:trPr>
          <w:trHeight w:val="230"/>
        </w:trPr>
        <w:tc>
          <w:tcPr>
            <w:tcW w:w="9380" w:type="dxa"/>
            <w:vAlign w:val="bottom"/>
            <w:shd w:val="clear" w:color="auto" w:fill="CCEEFF"/>
          </w:tcPr>
          <w:p>
            <w:pPr>
              <w:ind w:left="180"/>
              <w:spacing w:after="0" w:line="230" w:lineRule="exact"/>
              <w:rPr>
                <w:sz w:val="20"/>
                <w:szCs w:val="20"/>
                <w:color w:val="auto"/>
              </w:rPr>
            </w:pPr>
            <w:r>
              <w:rPr>
                <w:rFonts w:ascii="Times New Roman" w:cs="Times New Roman" w:eastAsia="Times New Roman" w:hAnsi="Times New Roman"/>
                <w:sz w:val="16"/>
                <w:szCs w:val="16"/>
                <w:color w:val="auto"/>
              </w:rPr>
              <w:t>Charge-offs of CECL reserve - transfer to Real Estate, net and Real Estate Held for Sale</w:t>
            </w:r>
            <w:r>
              <w:rPr>
                <w:rFonts w:ascii="Times New Roman" w:cs="Times New Roman" w:eastAsia="Times New Roman" w:hAnsi="Times New Roman"/>
                <w:sz w:val="21"/>
                <w:szCs w:val="21"/>
                <w:color w:val="auto"/>
                <w:vertAlign w:val="superscript"/>
              </w:rPr>
              <w:t>(3)</w:t>
            </w:r>
          </w:p>
        </w:tc>
        <w:tc>
          <w:tcPr>
            <w:tcW w:w="6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(1,043)</w:t>
            </w:r>
          </w:p>
        </w:tc>
        <w:tc>
          <w:tcPr>
            <w:tcW w:w="0" w:type="dxa"/>
            <w:vAlign w:val="bottom"/>
          </w:tcPr>
          <w:p>
            <w:pPr>
              <w:spacing w:after="0"/>
              <w:rPr>
                <w:sz w:val="1"/>
                <w:szCs w:val="1"/>
                <w:color w:val="auto"/>
              </w:rPr>
            </w:pPr>
          </w:p>
        </w:tc>
      </w:tr>
      <w:tr>
        <w:trPr>
          <w:trHeight w:val="223"/>
        </w:trPr>
        <w:tc>
          <w:tcPr>
            <w:tcW w:w="938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CECL reserve at March 31, 2025</w:t>
            </w:r>
          </w:p>
        </w:tc>
        <w:tc>
          <w:tcPr>
            <w:tcW w:w="620" w:type="dxa"/>
            <w:vAlign w:val="bottom"/>
            <w:tcBorders>
              <w:bottom w:val="single" w:sz="8" w:color="auto"/>
            </w:tcBorders>
          </w:tcPr>
          <w:p>
            <w:pPr>
              <w:jc w:val="right"/>
              <w:ind w:right="43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155,365</w:t>
            </w:r>
          </w:p>
        </w:tc>
        <w:tc>
          <w:tcPr>
            <w:tcW w:w="0" w:type="dxa"/>
            <w:vAlign w:val="bottom"/>
          </w:tcPr>
          <w:p>
            <w:pPr>
              <w:spacing w:after="0"/>
              <w:rPr>
                <w:sz w:val="1"/>
                <w:szCs w:val="1"/>
                <w:color w:val="auto"/>
              </w:rPr>
            </w:pPr>
          </w:p>
        </w:tc>
      </w:tr>
      <w:tr>
        <w:trPr>
          <w:trHeight w:val="20"/>
        </w:trPr>
        <w:tc>
          <w:tcPr>
            <w:tcW w:w="9380" w:type="dxa"/>
            <w:vAlign w:val="bottom"/>
            <w:tcBorders>
              <w:bottom w:val="single" w:sz="8" w:color="CCEEFF"/>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93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Decrease in general CECL reserve</w:t>
            </w:r>
          </w:p>
        </w:tc>
        <w:tc>
          <w:tcPr>
            <w:tcW w:w="620" w:type="dxa"/>
            <w:vAlign w:val="bottom"/>
            <w:shd w:val="clear" w:color="auto" w:fill="CCEEFF"/>
          </w:tcPr>
          <w:p>
            <w:pPr>
              <w:jc w:val="right"/>
              <w:ind w:right="43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(18,798)</w:t>
            </w:r>
          </w:p>
        </w:tc>
        <w:tc>
          <w:tcPr>
            <w:tcW w:w="0" w:type="dxa"/>
            <w:vAlign w:val="bottom"/>
          </w:tcPr>
          <w:p>
            <w:pPr>
              <w:spacing w:after="0"/>
              <w:rPr>
                <w:sz w:val="1"/>
                <w:szCs w:val="1"/>
                <w:color w:val="auto"/>
              </w:rPr>
            </w:pPr>
          </w:p>
        </w:tc>
      </w:tr>
      <w:tr>
        <w:trPr>
          <w:trHeight w:val="230"/>
        </w:trPr>
        <w:tc>
          <w:tcPr>
            <w:tcW w:w="9380" w:type="dxa"/>
            <w:vAlign w:val="bottom"/>
          </w:tcPr>
          <w:p>
            <w:pPr>
              <w:ind w:left="180"/>
              <w:spacing w:after="0" w:line="230" w:lineRule="exact"/>
              <w:rPr>
                <w:sz w:val="20"/>
                <w:szCs w:val="20"/>
                <w:color w:val="auto"/>
              </w:rPr>
            </w:pPr>
            <w:r>
              <w:rPr>
                <w:rFonts w:ascii="Times New Roman" w:cs="Times New Roman" w:eastAsia="Times New Roman" w:hAnsi="Times New Roman"/>
                <w:sz w:val="16"/>
                <w:szCs w:val="16"/>
                <w:color w:val="auto"/>
              </w:rPr>
              <w:t>Increase in specific CECL reserve</w:t>
            </w:r>
            <w:r>
              <w:rPr>
                <w:rFonts w:ascii="Times New Roman" w:cs="Times New Roman" w:eastAsia="Times New Roman" w:hAnsi="Times New Roman"/>
                <w:sz w:val="21"/>
                <w:szCs w:val="21"/>
                <w:color w:val="auto"/>
                <w:vertAlign w:val="superscript"/>
              </w:rPr>
              <w:t>(2)</w:t>
            </w:r>
          </w:p>
        </w:tc>
        <w:tc>
          <w:tcPr>
            <w:tcW w:w="6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19,482</w:t>
            </w:r>
          </w:p>
        </w:tc>
        <w:tc>
          <w:tcPr>
            <w:tcW w:w="0" w:type="dxa"/>
            <w:vAlign w:val="bottom"/>
          </w:tcPr>
          <w:p>
            <w:pPr>
              <w:spacing w:after="0"/>
              <w:rPr>
                <w:sz w:val="1"/>
                <w:szCs w:val="1"/>
                <w:color w:val="auto"/>
              </w:rPr>
            </w:pPr>
          </w:p>
        </w:tc>
      </w:tr>
      <w:tr>
        <w:trPr>
          <w:trHeight w:val="230"/>
        </w:trPr>
        <w:tc>
          <w:tcPr>
            <w:tcW w:w="9380" w:type="dxa"/>
            <w:vAlign w:val="bottom"/>
            <w:shd w:val="clear" w:color="auto" w:fill="CCEEFF"/>
          </w:tcPr>
          <w:p>
            <w:pPr>
              <w:ind w:left="180"/>
              <w:spacing w:after="0" w:line="230" w:lineRule="exact"/>
              <w:rPr>
                <w:sz w:val="20"/>
                <w:szCs w:val="20"/>
                <w:color w:val="auto"/>
              </w:rPr>
            </w:pPr>
            <w:r>
              <w:rPr>
                <w:rFonts w:ascii="Times New Roman" w:cs="Times New Roman" w:eastAsia="Times New Roman" w:hAnsi="Times New Roman"/>
                <w:sz w:val="16"/>
                <w:szCs w:val="16"/>
                <w:color w:val="auto"/>
              </w:rPr>
              <w:t>Charge-offs of CECL reserve - other</w:t>
            </w:r>
            <w:r>
              <w:rPr>
                <w:rFonts w:ascii="Times New Roman" w:cs="Times New Roman" w:eastAsia="Times New Roman" w:hAnsi="Times New Roman"/>
                <w:sz w:val="21"/>
                <w:szCs w:val="21"/>
                <w:color w:val="auto"/>
                <w:vertAlign w:val="superscript"/>
              </w:rPr>
              <w:t>(2)</w:t>
            </w:r>
          </w:p>
        </w:tc>
        <w:tc>
          <w:tcPr>
            <w:tcW w:w="6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(18,192)</w:t>
            </w:r>
          </w:p>
        </w:tc>
        <w:tc>
          <w:tcPr>
            <w:tcW w:w="0" w:type="dxa"/>
            <w:vAlign w:val="bottom"/>
          </w:tcPr>
          <w:p>
            <w:pPr>
              <w:spacing w:after="0"/>
              <w:rPr>
                <w:sz w:val="1"/>
                <w:szCs w:val="1"/>
                <w:color w:val="auto"/>
              </w:rPr>
            </w:pPr>
          </w:p>
        </w:tc>
      </w:tr>
      <w:tr>
        <w:trPr>
          <w:trHeight w:val="229"/>
        </w:trPr>
        <w:tc>
          <w:tcPr>
            <w:tcW w:w="9380" w:type="dxa"/>
            <w:vAlign w:val="bottom"/>
            <w:tcBorders>
              <w:bottom w:val="single" w:sz="8" w:color="CCEEFF"/>
            </w:tcBorders>
          </w:tcPr>
          <w:p>
            <w:pPr>
              <w:ind w:left="180"/>
              <w:spacing w:after="0" w:line="230" w:lineRule="exact"/>
              <w:rPr>
                <w:sz w:val="20"/>
                <w:szCs w:val="20"/>
                <w:color w:val="auto"/>
              </w:rPr>
            </w:pPr>
            <w:r>
              <w:rPr>
                <w:rFonts w:ascii="Times New Roman" w:cs="Times New Roman" w:eastAsia="Times New Roman" w:hAnsi="Times New Roman"/>
                <w:sz w:val="16"/>
                <w:szCs w:val="16"/>
                <w:color w:val="auto"/>
              </w:rPr>
              <w:t>Charge-offs of CECL reserve - transfer to Real Estate, net and Real Estate Held for Sale</w:t>
            </w:r>
            <w:r>
              <w:rPr>
                <w:rFonts w:ascii="Times New Roman" w:cs="Times New Roman" w:eastAsia="Times New Roman" w:hAnsi="Times New Roman"/>
                <w:sz w:val="21"/>
                <w:szCs w:val="21"/>
                <w:color w:val="auto"/>
                <w:vertAlign w:val="superscript"/>
              </w:rPr>
              <w:t>(4)</w:t>
            </w:r>
          </w:p>
        </w:tc>
        <w:tc>
          <w:tcPr>
            <w:tcW w:w="6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(1,290)</w:t>
            </w:r>
          </w:p>
        </w:tc>
        <w:tc>
          <w:tcPr>
            <w:tcW w:w="0" w:type="dxa"/>
            <w:vAlign w:val="bottom"/>
          </w:tcPr>
          <w:p>
            <w:pPr>
              <w:spacing w:after="0"/>
              <w:rPr>
                <w:sz w:val="1"/>
                <w:szCs w:val="1"/>
                <w:color w:val="auto"/>
              </w:rPr>
            </w:pPr>
          </w:p>
        </w:tc>
      </w:tr>
      <w:tr>
        <w:trPr>
          <w:trHeight w:val="248"/>
        </w:trPr>
        <w:tc>
          <w:tcPr>
            <w:tcW w:w="93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CECL reserve at June 30, 2025</w:t>
            </w:r>
          </w:p>
        </w:tc>
        <w:tc>
          <w:tcPr>
            <w:tcW w:w="620" w:type="dxa"/>
            <w:vAlign w:val="bottom"/>
            <w:tcBorders>
              <w:bottom w:val="single" w:sz="8" w:color="auto"/>
            </w:tcBorders>
            <w:shd w:val="clear" w:color="auto" w:fill="CCEEFF"/>
          </w:tcPr>
          <w:p>
            <w:pPr>
              <w:jc w:val="right"/>
              <w:ind w:right="43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136,567</w:t>
            </w:r>
          </w:p>
        </w:tc>
        <w:tc>
          <w:tcPr>
            <w:tcW w:w="0" w:type="dxa"/>
            <w:vAlign w:val="bottom"/>
          </w:tcPr>
          <w:p>
            <w:pPr>
              <w:spacing w:after="0"/>
              <w:rPr>
                <w:sz w:val="1"/>
                <w:szCs w:val="1"/>
                <w:color w:val="auto"/>
              </w:rPr>
            </w:pPr>
          </w:p>
        </w:tc>
      </w:tr>
      <w:tr>
        <w:trPr>
          <w:trHeight w:val="20"/>
        </w:trPr>
        <w:tc>
          <w:tcPr>
            <w:tcW w:w="9380" w:type="dxa"/>
            <w:vAlign w:val="bottom"/>
            <w:tcBorders>
              <w:top w:val="single" w:sz="8" w:color="CCEEFF"/>
              <w:bottom w:val="single" w:sz="8" w:color="CCEEFF"/>
            </w:tcBorders>
            <w:vMerge w:val="restart"/>
          </w:tcPr>
          <w:p>
            <w:pPr>
              <w:ind w:left="180"/>
              <w:spacing w:after="0"/>
              <w:rPr>
                <w:sz w:val="20"/>
                <w:szCs w:val="20"/>
                <w:color w:val="auto"/>
              </w:rPr>
            </w:pPr>
            <w:r>
              <w:rPr>
                <w:rFonts w:ascii="Times New Roman" w:cs="Times New Roman" w:eastAsia="Times New Roman" w:hAnsi="Times New Roman"/>
                <w:sz w:val="16"/>
                <w:szCs w:val="16"/>
                <w:color w:val="auto"/>
              </w:rPr>
              <w:t>Decrease in general CECL reserve</w:t>
            </w:r>
            <w:r>
              <w:rPr>
                <w:rFonts w:ascii="Times New Roman" w:cs="Times New Roman" w:eastAsia="Times New Roman" w:hAnsi="Times New Roman"/>
                <w:sz w:val="21"/>
                <w:szCs w:val="21"/>
                <w:color w:val="auto"/>
                <w:vertAlign w:val="superscript"/>
              </w:rPr>
              <w:t>(1)</w:t>
            </w: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9380" w:type="dxa"/>
            <w:vAlign w:val="bottom"/>
            <w:vMerge w:val="continue"/>
          </w:tcPr>
          <w:p>
            <w:pPr>
              <w:spacing w:after="0"/>
              <w:rPr>
                <w:sz w:val="17"/>
                <w:szCs w:val="17"/>
                <w:color w:val="auto"/>
              </w:rPr>
            </w:pPr>
          </w:p>
        </w:tc>
        <w:tc>
          <w:tcPr>
            <w:tcW w:w="620" w:type="dxa"/>
            <w:vAlign w:val="bottom"/>
          </w:tcPr>
          <w:p>
            <w:pPr>
              <w:jc w:val="right"/>
              <w:ind w:right="43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(9,662)</w:t>
            </w:r>
          </w:p>
        </w:tc>
        <w:tc>
          <w:tcPr>
            <w:tcW w:w="0" w:type="dxa"/>
            <w:vAlign w:val="bottom"/>
          </w:tcPr>
          <w:p>
            <w:pPr>
              <w:spacing w:after="0"/>
              <w:rPr>
                <w:sz w:val="1"/>
                <w:szCs w:val="1"/>
                <w:color w:val="auto"/>
              </w:rPr>
            </w:pPr>
          </w:p>
        </w:tc>
      </w:tr>
      <w:tr>
        <w:trPr>
          <w:trHeight w:val="230"/>
        </w:trPr>
        <w:tc>
          <w:tcPr>
            <w:tcW w:w="9380" w:type="dxa"/>
            <w:vAlign w:val="bottom"/>
            <w:shd w:val="clear" w:color="auto" w:fill="CCEEFF"/>
          </w:tcPr>
          <w:p>
            <w:pPr>
              <w:ind w:left="180"/>
              <w:spacing w:after="0" w:line="230" w:lineRule="exact"/>
              <w:rPr>
                <w:sz w:val="20"/>
                <w:szCs w:val="20"/>
                <w:color w:val="auto"/>
              </w:rPr>
            </w:pPr>
            <w:r>
              <w:rPr>
                <w:rFonts w:ascii="Times New Roman" w:cs="Times New Roman" w:eastAsia="Times New Roman" w:hAnsi="Times New Roman"/>
                <w:sz w:val="16"/>
                <w:szCs w:val="16"/>
                <w:color w:val="auto"/>
              </w:rPr>
              <w:t>Increase in specific CECL reserve</w:t>
            </w:r>
            <w:r>
              <w:rPr>
                <w:rFonts w:ascii="Times New Roman" w:cs="Times New Roman" w:eastAsia="Times New Roman" w:hAnsi="Times New Roman"/>
                <w:sz w:val="21"/>
                <w:szCs w:val="21"/>
                <w:color w:val="auto"/>
                <w:vertAlign w:val="superscript"/>
              </w:rPr>
              <w:t>(2)</w:t>
            </w:r>
          </w:p>
        </w:tc>
        <w:tc>
          <w:tcPr>
            <w:tcW w:w="6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17,891</w:t>
            </w:r>
          </w:p>
        </w:tc>
        <w:tc>
          <w:tcPr>
            <w:tcW w:w="0" w:type="dxa"/>
            <w:vAlign w:val="bottom"/>
          </w:tcPr>
          <w:p>
            <w:pPr>
              <w:spacing w:after="0"/>
              <w:rPr>
                <w:sz w:val="1"/>
                <w:szCs w:val="1"/>
                <w:color w:val="auto"/>
              </w:rPr>
            </w:pPr>
          </w:p>
        </w:tc>
      </w:tr>
      <w:tr>
        <w:trPr>
          <w:trHeight w:val="229"/>
        </w:trPr>
        <w:tc>
          <w:tcPr>
            <w:tcW w:w="9380" w:type="dxa"/>
            <w:vAlign w:val="bottom"/>
            <w:tcBorders>
              <w:bottom w:val="single" w:sz="8" w:color="CCEEFF"/>
            </w:tcBorders>
          </w:tcPr>
          <w:p>
            <w:pPr>
              <w:ind w:left="180"/>
              <w:spacing w:after="0" w:line="230" w:lineRule="exact"/>
              <w:rPr>
                <w:sz w:val="20"/>
                <w:szCs w:val="20"/>
                <w:color w:val="auto"/>
              </w:rPr>
            </w:pPr>
            <w:r>
              <w:rPr>
                <w:rFonts w:ascii="Times New Roman" w:cs="Times New Roman" w:eastAsia="Times New Roman" w:hAnsi="Times New Roman"/>
                <w:sz w:val="16"/>
                <w:szCs w:val="16"/>
                <w:color w:val="auto"/>
              </w:rPr>
              <w:t>Charge-offs of CECL reserve-transfer to Real Estate, net and Real Estate Held for Sale</w:t>
            </w:r>
            <w:r>
              <w:rPr>
                <w:rFonts w:ascii="Times New Roman" w:cs="Times New Roman" w:eastAsia="Times New Roman" w:hAnsi="Times New Roman"/>
                <w:sz w:val="21"/>
                <w:szCs w:val="21"/>
                <w:color w:val="auto"/>
                <w:vertAlign w:val="superscript"/>
              </w:rPr>
              <w:t>(4)</w:t>
            </w:r>
          </w:p>
        </w:tc>
        <w:tc>
          <w:tcPr>
            <w:tcW w:w="6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(17,891)</w:t>
            </w:r>
          </w:p>
        </w:tc>
        <w:tc>
          <w:tcPr>
            <w:tcW w:w="0" w:type="dxa"/>
            <w:vAlign w:val="bottom"/>
          </w:tcPr>
          <w:p>
            <w:pPr>
              <w:spacing w:after="0"/>
              <w:rPr>
                <w:sz w:val="1"/>
                <w:szCs w:val="1"/>
                <w:color w:val="auto"/>
              </w:rPr>
            </w:pPr>
          </w:p>
        </w:tc>
      </w:tr>
      <w:tr>
        <w:trPr>
          <w:trHeight w:val="248"/>
        </w:trPr>
        <w:tc>
          <w:tcPr>
            <w:tcW w:w="93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CECL reserve at September 30, 2025</w:t>
            </w:r>
          </w:p>
        </w:tc>
        <w:tc>
          <w:tcPr>
            <w:tcW w:w="620" w:type="dxa"/>
            <w:vAlign w:val="bottom"/>
            <w:tcBorders>
              <w:bottom w:val="single" w:sz="8" w:color="auto"/>
            </w:tcBorders>
            <w:shd w:val="clear" w:color="auto" w:fill="CCEEFF"/>
          </w:tcPr>
          <w:p>
            <w:pPr>
              <w:jc w:val="right"/>
              <w:ind w:right="43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126,905</w:t>
            </w:r>
          </w:p>
        </w:tc>
        <w:tc>
          <w:tcPr>
            <w:tcW w:w="0" w:type="dxa"/>
            <w:vAlign w:val="bottom"/>
          </w:tcPr>
          <w:p>
            <w:pPr>
              <w:spacing w:after="0"/>
              <w:rPr>
                <w:sz w:val="1"/>
                <w:szCs w:val="1"/>
                <w:color w:val="auto"/>
              </w:rPr>
            </w:pPr>
          </w:p>
        </w:tc>
      </w:tr>
      <w:tr>
        <w:trPr>
          <w:trHeight w:val="20"/>
        </w:trPr>
        <w:tc>
          <w:tcPr>
            <w:tcW w:w="938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_________________________________________</w:t>
      </w:r>
    </w:p>
    <w:p>
      <w:pPr>
        <w:spacing w:after="0" w:line="27" w:lineRule="exact"/>
        <w:rPr>
          <w:sz w:val="20"/>
          <w:szCs w:val="20"/>
          <w:color w:val="auto"/>
        </w:rPr>
      </w:pPr>
    </w:p>
    <w:p>
      <w:pPr>
        <w:ind w:left="320" w:hanging="312"/>
        <w:spacing w:after="0"/>
        <w:tabs>
          <w:tab w:leader="none" w:pos="32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Excludes CECL reserves related to unfunded commitments reported on the consolidated statement of operations for the three months ended March 31, 2026: $1.2 million, June 30, 2026:</w:t>
      </w:r>
    </w:p>
    <w:p>
      <w:pPr>
        <w:spacing w:after="0" w:line="14" w:lineRule="exact"/>
        <w:rPr>
          <w:rFonts w:ascii="Times New Roman" w:cs="Times New Roman" w:eastAsia="Times New Roman" w:hAnsi="Times New Roman"/>
          <w:sz w:val="14"/>
          <w:szCs w:val="14"/>
          <w:color w:val="auto"/>
        </w:rPr>
      </w:pPr>
    </w:p>
    <w:p>
      <w:pPr>
        <w:ind w:left="340"/>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$(0.8) million and September 30, 2026: $(0.1) million, March 31, 2025: $0.5 million, June 30, 2025: $(0.1) million and September 30, 2025: a de minimis amount.</w:t>
      </w:r>
    </w:p>
    <w:p>
      <w:pPr>
        <w:spacing w:after="0" w:line="14" w:lineRule="exact"/>
        <w:rPr>
          <w:rFonts w:ascii="Times New Roman" w:cs="Times New Roman" w:eastAsia="Times New Roman" w:hAnsi="Times New Roman"/>
          <w:sz w:val="14"/>
          <w:szCs w:val="14"/>
          <w:color w:val="auto"/>
        </w:rPr>
      </w:pPr>
    </w:p>
    <w:p>
      <w:pPr>
        <w:jc w:val="both"/>
        <w:ind w:left="340" w:hanging="332"/>
        <w:spacing w:after="0" w:line="257" w:lineRule="auto"/>
        <w:tabs>
          <w:tab w:leader="none" w:pos="332"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During the nine months ended September 30, 2026, the Company recorded specific CECL reserves totaling $7.8 million relating to one office senior loan, $2.9 million for one multifamily mezzanine loan, $0.9 million for one multifamily senior loan and $0.6 million for one multifamily senior loan and had reversals of $0.6 million relating to one industrial loan, $0.3 million relating to one multifamily mezzanine loan and $0.2 million relating to one office senior loan. The CECL reserves were charged off during the period. During the nine months ended September 30, 2025, the Company recorded specific CECL reserves totaling $46.5 million for one multifamily loan, one multifamily construction/development loan, one office loan and one hotel loan, all of which were charged off during the nine months ended September 30, 2025. As of September 30, 2025, these properties were classified as real estate, net.</w:t>
      </w:r>
    </w:p>
    <w:p>
      <w:pPr>
        <w:spacing w:after="0" w:line="2" w:lineRule="exact"/>
        <w:rPr>
          <w:rFonts w:ascii="Times New Roman" w:cs="Times New Roman" w:eastAsia="Times New Roman" w:hAnsi="Times New Roman"/>
          <w:sz w:val="14"/>
          <w:szCs w:val="14"/>
          <w:color w:val="auto"/>
        </w:rPr>
      </w:pPr>
    </w:p>
    <w:p>
      <w:pPr>
        <w:ind w:left="340" w:right="20" w:hanging="332"/>
        <w:spacing w:after="0" w:line="251" w:lineRule="auto"/>
        <w:tabs>
          <w:tab w:leader="none" w:pos="332"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During the first quarter of 2025, the Company consolidated a multifamily loan as the primary beneficiary. As a result, the property was consolidated as real estate. The CECL reserve related to this loan was charged off.</w:t>
      </w:r>
    </w:p>
    <w:p>
      <w:pPr>
        <w:ind w:left="340" w:hanging="332"/>
        <w:spacing w:after="0" w:line="283" w:lineRule="auto"/>
        <w:tabs>
          <w:tab w:leader="none" w:pos="332"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During the second quarter of 2025, the Company consolidated one hotel loan upon foreclosure and during the third quarter of 2025, the Company consolidated one office upon foreclosure. As a result, the property was consolidated as real estate. The CECL reserve related to this loan was charged off.</w:t>
      </w:r>
    </w:p>
    <w:p>
      <w:pPr>
        <w:spacing w:after="0" w:line="35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Loans are typically secured by direct senior priority liens on real estate properties or by interests in entities that directly own real estate properties, which serve as the primary source of cash for the payment of principal and interest. The Company evaluates its loans at least quarterly and differentiates the relative credit quality principally based on: (i) whether the borrower is currently paying contractual debt service in accordance with its contractual terms; and (ii) whether the Company believes the borrower will be able to perform under its contractual terms in the future, as well as the Company’s expectations as to the ultimate recovery of principal at maturity.</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5" w:name="page26"/>
    <w:bookmarkEnd w:id="2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BRIGHTSPIRE CAPITAL,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90"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The following tables provide a summary by carrying values before any CECL reserves of the Company’s loans and preferred equity held for investment by year of origination and credit quality risk ranking as of September 30, 2026, and December 31, 2025 (dollars in thousands). Refer to Note 2, “Summary of Significant Accounting Policies” for loan risk ranking definitions.</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 September 30, 2026, the weighted average risk ranking for loans and preferred equity held for investment was 3.1.</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1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140" w:type="dxa"/>
            <w:vAlign w:val="bottom"/>
            <w:gridSpan w:val="5"/>
          </w:tcPr>
          <w:p>
            <w:pPr>
              <w:ind w:left="300"/>
              <w:spacing w:after="0"/>
              <w:rPr>
                <w:sz w:val="20"/>
                <w:szCs w:val="20"/>
                <w:color w:val="auto"/>
              </w:rPr>
            </w:pPr>
            <w:r>
              <w:rPr>
                <w:rFonts w:ascii="Times New Roman" w:cs="Times New Roman" w:eastAsia="Times New Roman" w:hAnsi="Times New Roman"/>
                <w:sz w:val="14"/>
                <w:szCs w:val="14"/>
                <w:b w:val="1"/>
                <w:bCs w:val="1"/>
                <w:color w:val="auto"/>
              </w:rPr>
              <w:t>September 30, 2026</w:t>
            </w:r>
          </w:p>
        </w:tc>
        <w:tc>
          <w:tcPr>
            <w:tcW w:w="2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18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gridSpan w:val="4"/>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41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80" w:type="dxa"/>
            <w:vAlign w:val="bottom"/>
            <w:gridSpan w:val="4"/>
          </w:tcPr>
          <w:p>
            <w:pPr>
              <w:ind w:left="40"/>
              <w:spacing w:after="0"/>
              <w:rPr>
                <w:sz w:val="20"/>
                <w:szCs w:val="20"/>
                <w:color w:val="auto"/>
              </w:rPr>
            </w:pPr>
            <w:r>
              <w:rPr>
                <w:rFonts w:ascii="Times New Roman" w:cs="Times New Roman" w:eastAsia="Times New Roman" w:hAnsi="Times New Roman"/>
                <w:sz w:val="14"/>
                <w:szCs w:val="14"/>
                <w:b w:val="1"/>
                <w:bCs w:val="1"/>
                <w:color w:val="auto"/>
              </w:rPr>
              <w:t>Year of Origination</w:t>
            </w:r>
          </w:p>
        </w:tc>
        <w:tc>
          <w:tcPr>
            <w:tcW w:w="2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180" w:type="dxa"/>
            <w:vAlign w:val="bottom"/>
            <w:vMerge w:val="restart"/>
          </w:tcPr>
          <w:p>
            <w:pPr>
              <w:ind w:left="1600"/>
              <w:spacing w:after="0"/>
              <w:rPr>
                <w:sz w:val="20"/>
                <w:szCs w:val="20"/>
                <w:color w:val="auto"/>
              </w:rPr>
            </w:pPr>
            <w:r>
              <w:rPr>
                <w:rFonts w:ascii="Times New Roman" w:cs="Times New Roman" w:eastAsia="Times New Roman" w:hAnsi="Times New Roman"/>
                <w:sz w:val="14"/>
                <w:szCs w:val="14"/>
                <w:b w:val="1"/>
                <w:bCs w:val="1"/>
                <w:color w:val="auto"/>
              </w:rPr>
              <w:t>Risk Rankings</w:t>
            </w: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gridSpan w:val="2"/>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vMerge w:val="restart"/>
          </w:tcPr>
          <w:p>
            <w:pPr>
              <w:jc w:val="right"/>
              <w:ind w:right="32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86"/>
        </w:trPr>
        <w:tc>
          <w:tcPr>
            <w:tcW w:w="418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jc w:val="right"/>
              <w:ind w:right="328"/>
              <w:spacing w:after="0"/>
              <w:rPr>
                <w:sz w:val="20"/>
                <w:szCs w:val="20"/>
                <w:color w:val="auto"/>
              </w:rPr>
            </w:pPr>
            <w:r>
              <w:rPr>
                <w:rFonts w:ascii="Times New Roman" w:cs="Times New Roman" w:eastAsia="Times New Roman" w:hAnsi="Times New Roman"/>
                <w:sz w:val="14"/>
                <w:szCs w:val="14"/>
                <w:b w:val="1"/>
                <w:bCs w:val="1"/>
                <w:color w:val="auto"/>
              </w:rPr>
              <w:t>2026</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tcPr>
          <w:p>
            <w:pPr>
              <w:jc w:val="right"/>
              <w:ind w:right="328"/>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tcPr>
          <w:p>
            <w:pPr>
              <w:jc w:val="right"/>
              <w:ind w:right="328"/>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jc w:val="right"/>
              <w:ind w:right="328"/>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120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2022 and earlier</w:t>
            </w:r>
          </w:p>
        </w:tc>
        <w:tc>
          <w:tcPr>
            <w:tcW w:w="24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1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6"/>
        </w:trPr>
        <w:tc>
          <w:tcPr>
            <w:tcW w:w="4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Senior loans</w:t>
            </w:r>
          </w:p>
        </w:tc>
        <w:tc>
          <w:tcPr>
            <w:tcW w:w="240" w:type="dxa"/>
            <w:vAlign w:val="bottom"/>
            <w:tcBorders>
              <w:bottom w:val="single" w:sz="8" w:color="CCEEFF"/>
            </w:tcBorders>
            <w:shd w:val="clear" w:color="auto" w:fill="CCEEFF"/>
          </w:tcPr>
          <w:p>
            <w:pPr>
              <w:spacing w:after="0"/>
              <w:rPr>
                <w:sz w:val="15"/>
                <w:szCs w:val="15"/>
                <w:color w:val="auto"/>
              </w:rPr>
            </w:pPr>
          </w:p>
        </w:tc>
        <w:tc>
          <w:tcPr>
            <w:tcW w:w="86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spacing w:after="0"/>
              <w:rPr>
                <w:sz w:val="15"/>
                <w:szCs w:val="15"/>
                <w:color w:val="auto"/>
              </w:rPr>
            </w:pPr>
          </w:p>
        </w:tc>
        <w:tc>
          <w:tcPr>
            <w:tcW w:w="84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15"/>
                <w:szCs w:val="15"/>
                <w:color w:val="auto"/>
              </w:rPr>
            </w:pPr>
          </w:p>
        </w:tc>
        <w:tc>
          <w:tcPr>
            <w:tcW w:w="84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15"/>
                <w:szCs w:val="15"/>
                <w:color w:val="auto"/>
              </w:rPr>
            </w:pPr>
          </w:p>
        </w:tc>
        <w:tc>
          <w:tcPr>
            <w:tcW w:w="86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CCEEFF"/>
            </w:tcBorders>
            <w:shd w:val="clear" w:color="auto" w:fill="CCEEFF"/>
          </w:tcPr>
          <w:p>
            <w:pPr>
              <w:spacing w:after="0"/>
              <w:rPr>
                <w:sz w:val="15"/>
                <w:szCs w:val="15"/>
                <w:color w:val="auto"/>
              </w:rPr>
            </w:pPr>
          </w:p>
        </w:tc>
        <w:tc>
          <w:tcPr>
            <w:tcW w:w="8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15"/>
                <w:szCs w:val="15"/>
                <w:color w:val="auto"/>
              </w:rPr>
            </w:pPr>
          </w:p>
        </w:tc>
        <w:tc>
          <w:tcPr>
            <w:tcW w:w="86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4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4180" w:type="dxa"/>
            <w:vAlign w:val="bottom"/>
            <w:tcBorders>
              <w:bottom w:val="single" w:sz="8" w:color="CCEEFF"/>
            </w:tcBorders>
            <w:shd w:val="clear" w:color="auto" w:fill="CCEEFF"/>
          </w:tcPr>
          <w:p>
            <w:pPr>
              <w:ind w:left="2020"/>
              <w:spacing w:after="0"/>
              <w:rPr>
                <w:sz w:val="20"/>
                <w:szCs w:val="20"/>
                <w:color w:val="auto"/>
              </w:rPr>
            </w:pPr>
            <w:r>
              <w:rPr>
                <w:rFonts w:ascii="Times New Roman" w:cs="Times New Roman" w:eastAsia="Times New Roman" w:hAnsi="Times New Roman"/>
                <w:sz w:val="14"/>
                <w:szCs w:val="14"/>
                <w:color w:val="auto"/>
              </w:rPr>
              <w:t>3</w:t>
            </w:r>
          </w:p>
        </w:tc>
        <w:tc>
          <w:tcPr>
            <w:tcW w:w="240" w:type="dxa"/>
            <w:vAlign w:val="bottom"/>
            <w:tcBorders>
              <w:bottom w:val="single" w:sz="8" w:color="CCEEFF"/>
            </w:tcBorders>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788,517</w:t>
            </w:r>
          </w:p>
        </w:tc>
        <w:tc>
          <w:tcPr>
            <w:tcW w:w="8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659,669</w:t>
            </w:r>
          </w:p>
        </w:tc>
        <w:tc>
          <w:tcPr>
            <w:tcW w:w="340" w:type="dxa"/>
            <w:vAlign w:val="bottom"/>
            <w:tcBorders>
              <w:bottom w:val="single" w:sz="8" w:color="CCEEFF"/>
            </w:tcBorders>
            <w:gridSpan w:val="2"/>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85,888</w:t>
            </w:r>
          </w:p>
        </w:tc>
        <w:tc>
          <w:tcPr>
            <w:tcW w:w="10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Borders>
              <w:bottom w:val="single" w:sz="8" w:color="CCEEFF"/>
            </w:tcBorders>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1,331,831</w:t>
            </w:r>
          </w:p>
        </w:tc>
        <w:tc>
          <w:tcPr>
            <w:tcW w:w="10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2,865,905</w:t>
            </w:r>
          </w:p>
        </w:tc>
        <w:tc>
          <w:tcPr>
            <w:tcW w:w="0" w:type="dxa"/>
            <w:vAlign w:val="bottom"/>
          </w:tcPr>
          <w:p>
            <w:pPr>
              <w:spacing w:after="0"/>
              <w:rPr>
                <w:sz w:val="1"/>
                <w:szCs w:val="1"/>
                <w:color w:val="auto"/>
              </w:rPr>
            </w:pPr>
          </w:p>
        </w:tc>
      </w:tr>
      <w:tr>
        <w:trPr>
          <w:trHeight w:val="193"/>
        </w:trPr>
        <w:tc>
          <w:tcPr>
            <w:tcW w:w="4180" w:type="dxa"/>
            <w:vAlign w:val="bottom"/>
          </w:tcPr>
          <w:p>
            <w:pPr>
              <w:ind w:left="2020"/>
              <w:spacing w:after="0"/>
              <w:rPr>
                <w:sz w:val="20"/>
                <w:szCs w:val="20"/>
                <w:color w:val="auto"/>
              </w:rPr>
            </w:pPr>
            <w:r>
              <w:rPr>
                <w:rFonts w:ascii="Times New Roman" w:cs="Times New Roman" w:eastAsia="Times New Roman" w:hAnsi="Times New Roman"/>
                <w:sz w:val="14"/>
                <w:szCs w:val="14"/>
                <w:color w:val="auto"/>
              </w:rPr>
              <w:t>4</w:t>
            </w:r>
          </w:p>
        </w:tc>
        <w:tc>
          <w:tcPr>
            <w:tcW w:w="240" w:type="dxa"/>
            <w:vAlign w:val="bottom"/>
          </w:tcPr>
          <w:p>
            <w:pPr>
              <w:spacing w:after="0"/>
              <w:rPr>
                <w:sz w:val="16"/>
                <w:szCs w:val="16"/>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181,826</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181,826</w:t>
            </w:r>
          </w:p>
        </w:tc>
        <w:tc>
          <w:tcPr>
            <w:tcW w:w="0" w:type="dxa"/>
            <w:vAlign w:val="bottom"/>
          </w:tcPr>
          <w:p>
            <w:pPr>
              <w:spacing w:after="0"/>
              <w:rPr>
                <w:sz w:val="1"/>
                <w:szCs w:val="1"/>
                <w:color w:val="auto"/>
              </w:rPr>
            </w:pPr>
          </w:p>
        </w:tc>
      </w:tr>
      <w:tr>
        <w:trPr>
          <w:trHeight w:val="23"/>
        </w:trPr>
        <w:tc>
          <w:tcPr>
            <w:tcW w:w="41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4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Total Senior loans</w:t>
            </w:r>
          </w:p>
        </w:tc>
        <w:tc>
          <w:tcPr>
            <w:tcW w:w="24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788,517</w:t>
            </w:r>
          </w:p>
        </w:tc>
        <w:tc>
          <w:tcPr>
            <w:tcW w:w="8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659,669</w:t>
            </w:r>
          </w:p>
        </w:tc>
        <w:tc>
          <w:tcPr>
            <w:tcW w:w="1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85,888</w:t>
            </w:r>
          </w:p>
        </w:tc>
        <w:tc>
          <w:tcPr>
            <w:tcW w:w="1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Borders>
              <w:bottom w:val="single" w:sz="8" w:color="CCEEFF"/>
            </w:tcBorders>
            <w:shd w:val="clear" w:color="auto" w:fill="CCEEFF"/>
          </w:tcPr>
          <w:p>
            <w:pPr>
              <w:spacing w:after="0"/>
              <w:rPr>
                <w:sz w:val="18"/>
                <w:szCs w:val="18"/>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1,513,657</w:t>
            </w:r>
          </w:p>
        </w:tc>
        <w:tc>
          <w:tcPr>
            <w:tcW w:w="1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3,047,731</w:t>
            </w:r>
          </w:p>
        </w:tc>
        <w:tc>
          <w:tcPr>
            <w:tcW w:w="0" w:type="dxa"/>
            <w:vAlign w:val="bottom"/>
          </w:tcPr>
          <w:p>
            <w:pPr>
              <w:spacing w:after="0"/>
              <w:rPr>
                <w:sz w:val="1"/>
                <w:szCs w:val="1"/>
                <w:color w:val="auto"/>
              </w:rPr>
            </w:pPr>
          </w:p>
        </w:tc>
      </w:tr>
      <w:tr>
        <w:trPr>
          <w:trHeight w:val="142"/>
        </w:trPr>
        <w:tc>
          <w:tcPr>
            <w:tcW w:w="418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4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Mezzanine loans</w:t>
            </w:r>
          </w:p>
        </w:tc>
        <w:tc>
          <w:tcPr>
            <w:tcW w:w="24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8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8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spacing w:after="0"/>
              <w:rPr>
                <w:sz w:val="17"/>
                <w:szCs w:val="17"/>
                <w:color w:val="auto"/>
              </w:rPr>
            </w:pPr>
          </w:p>
        </w:tc>
        <w:tc>
          <w:tcPr>
            <w:tcW w:w="8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4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4180" w:type="dxa"/>
            <w:vAlign w:val="bottom"/>
            <w:tcBorders>
              <w:bottom w:val="single" w:sz="8" w:color="CCEEFF"/>
            </w:tcBorders>
            <w:shd w:val="clear" w:color="auto" w:fill="CCEEFF"/>
          </w:tcPr>
          <w:p>
            <w:pPr>
              <w:ind w:left="2020"/>
              <w:spacing w:after="0"/>
              <w:rPr>
                <w:sz w:val="20"/>
                <w:szCs w:val="20"/>
                <w:color w:val="auto"/>
              </w:rPr>
            </w:pPr>
            <w:r>
              <w:rPr>
                <w:rFonts w:ascii="Times New Roman" w:cs="Times New Roman" w:eastAsia="Times New Roman" w:hAnsi="Times New Roman"/>
                <w:sz w:val="14"/>
                <w:szCs w:val="14"/>
                <w:color w:val="auto"/>
              </w:rPr>
              <w:t>3</w:t>
            </w:r>
          </w:p>
        </w:tc>
        <w:tc>
          <w:tcPr>
            <w:tcW w:w="24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Borders>
              <w:bottom w:val="single" w:sz="8" w:color="CCEEFF"/>
            </w:tcBorders>
            <w:shd w:val="clear" w:color="auto" w:fill="CCEEFF"/>
          </w:tcPr>
          <w:p>
            <w:pPr>
              <w:spacing w:after="0"/>
              <w:rPr>
                <w:sz w:val="18"/>
                <w:szCs w:val="18"/>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15,105</w:t>
            </w:r>
          </w:p>
        </w:tc>
        <w:tc>
          <w:tcPr>
            <w:tcW w:w="10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15,105</w:t>
            </w:r>
          </w:p>
        </w:tc>
        <w:tc>
          <w:tcPr>
            <w:tcW w:w="0" w:type="dxa"/>
            <w:vAlign w:val="bottom"/>
          </w:tcPr>
          <w:p>
            <w:pPr>
              <w:spacing w:after="0"/>
              <w:rPr>
                <w:sz w:val="1"/>
                <w:szCs w:val="1"/>
                <w:color w:val="auto"/>
              </w:rPr>
            </w:pPr>
          </w:p>
        </w:tc>
      </w:tr>
      <w:tr>
        <w:trPr>
          <w:trHeight w:val="186"/>
        </w:trPr>
        <w:tc>
          <w:tcPr>
            <w:tcW w:w="41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Total Mezzanine loans</w:t>
            </w:r>
          </w:p>
        </w:tc>
        <w:tc>
          <w:tcPr>
            <w:tcW w:w="240" w:type="dxa"/>
            <w:vAlign w:val="bottom"/>
            <w:tcBorders>
              <w:top w:val="single" w:sz="8" w:color="auto"/>
            </w:tcBorders>
          </w:tcPr>
          <w:p>
            <w:pPr>
              <w:spacing w:after="0"/>
              <w:rPr>
                <w:sz w:val="16"/>
                <w:szCs w:val="16"/>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15,105</w:t>
            </w:r>
          </w:p>
        </w:tc>
        <w:tc>
          <w:tcPr>
            <w:tcW w:w="100" w:type="dxa"/>
            <w:vAlign w:val="bottom"/>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15,105</w:t>
            </w:r>
          </w:p>
        </w:tc>
        <w:tc>
          <w:tcPr>
            <w:tcW w:w="0" w:type="dxa"/>
            <w:vAlign w:val="bottom"/>
          </w:tcPr>
          <w:p>
            <w:pPr>
              <w:spacing w:after="0"/>
              <w:rPr>
                <w:sz w:val="1"/>
                <w:szCs w:val="1"/>
                <w:color w:val="auto"/>
              </w:rPr>
            </w:pPr>
          </w:p>
        </w:tc>
      </w:tr>
      <w:tr>
        <w:trPr>
          <w:trHeight w:val="23"/>
        </w:trPr>
        <w:tc>
          <w:tcPr>
            <w:tcW w:w="41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3"/>
        </w:trPr>
        <w:tc>
          <w:tcPr>
            <w:tcW w:w="41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41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Preferred Equity</w:t>
            </w:r>
          </w:p>
        </w:tc>
        <w:tc>
          <w:tcPr>
            <w:tcW w:w="2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1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4180" w:type="dxa"/>
            <w:vAlign w:val="bottom"/>
            <w:tcBorders>
              <w:bottom w:val="single" w:sz="8" w:color="CCEEFF"/>
            </w:tcBorders>
            <w:shd w:val="clear" w:color="auto" w:fill="CCEEFF"/>
          </w:tcPr>
          <w:p>
            <w:pPr>
              <w:ind w:left="2020"/>
              <w:spacing w:after="0"/>
              <w:rPr>
                <w:sz w:val="20"/>
                <w:szCs w:val="20"/>
                <w:color w:val="auto"/>
              </w:rPr>
            </w:pPr>
            <w:r>
              <w:rPr>
                <w:rFonts w:ascii="Times New Roman" w:cs="Times New Roman" w:eastAsia="Times New Roman" w:hAnsi="Times New Roman"/>
                <w:sz w:val="14"/>
                <w:szCs w:val="14"/>
                <w:color w:val="auto"/>
              </w:rPr>
              <w:t>3</w:t>
            </w:r>
          </w:p>
        </w:tc>
        <w:tc>
          <w:tcPr>
            <w:tcW w:w="24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728</w:t>
            </w:r>
          </w:p>
        </w:tc>
        <w:tc>
          <w:tcPr>
            <w:tcW w:w="8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13,628</w:t>
            </w:r>
          </w:p>
        </w:tc>
        <w:tc>
          <w:tcPr>
            <w:tcW w:w="10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9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Borders>
              <w:bottom w:val="single" w:sz="8" w:color="CCEEFF"/>
            </w:tcBorders>
            <w:shd w:val="clear" w:color="auto" w:fill="CCEEFF"/>
          </w:tcPr>
          <w:p>
            <w:pPr>
              <w:spacing w:after="0"/>
              <w:rPr>
                <w:sz w:val="17"/>
                <w:szCs w:val="17"/>
                <w:color w:val="auto"/>
              </w:rPr>
            </w:pPr>
          </w:p>
        </w:tc>
        <w:tc>
          <w:tcPr>
            <w:tcW w:w="9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14,356</w:t>
            </w:r>
          </w:p>
        </w:tc>
        <w:tc>
          <w:tcPr>
            <w:tcW w:w="0" w:type="dxa"/>
            <w:vAlign w:val="bottom"/>
          </w:tcPr>
          <w:p>
            <w:pPr>
              <w:spacing w:after="0"/>
              <w:rPr>
                <w:sz w:val="1"/>
                <w:szCs w:val="1"/>
                <w:color w:val="auto"/>
              </w:rPr>
            </w:pPr>
          </w:p>
        </w:tc>
      </w:tr>
      <w:tr>
        <w:trPr>
          <w:trHeight w:val="193"/>
        </w:trPr>
        <w:tc>
          <w:tcPr>
            <w:tcW w:w="4180" w:type="dxa"/>
            <w:vAlign w:val="bottom"/>
          </w:tcPr>
          <w:p>
            <w:pPr>
              <w:ind w:left="2020"/>
              <w:spacing w:after="0"/>
              <w:rPr>
                <w:sz w:val="20"/>
                <w:szCs w:val="20"/>
                <w:color w:val="auto"/>
              </w:rPr>
            </w:pPr>
            <w:r>
              <w:rPr>
                <w:rFonts w:ascii="Times New Roman" w:cs="Times New Roman" w:eastAsia="Times New Roman" w:hAnsi="Times New Roman"/>
                <w:sz w:val="14"/>
                <w:szCs w:val="14"/>
                <w:color w:val="auto"/>
              </w:rPr>
              <w:t>4</w:t>
            </w:r>
          </w:p>
        </w:tc>
        <w:tc>
          <w:tcPr>
            <w:tcW w:w="2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913</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4,219</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6"/>
                <w:szCs w:val="16"/>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5,132</w:t>
            </w:r>
          </w:p>
        </w:tc>
        <w:tc>
          <w:tcPr>
            <w:tcW w:w="0" w:type="dxa"/>
            <w:vAlign w:val="bottom"/>
          </w:tcPr>
          <w:p>
            <w:pPr>
              <w:spacing w:after="0"/>
              <w:rPr>
                <w:sz w:val="1"/>
                <w:szCs w:val="1"/>
                <w:color w:val="auto"/>
              </w:rPr>
            </w:pPr>
          </w:p>
        </w:tc>
      </w:tr>
      <w:tr>
        <w:trPr>
          <w:trHeight w:val="23"/>
        </w:trPr>
        <w:tc>
          <w:tcPr>
            <w:tcW w:w="41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4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Total Preferred Equity</w:t>
            </w:r>
          </w:p>
        </w:tc>
        <w:tc>
          <w:tcPr>
            <w:tcW w:w="24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1,641</w:t>
            </w:r>
          </w:p>
        </w:tc>
        <w:tc>
          <w:tcPr>
            <w:tcW w:w="8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17,847</w:t>
            </w:r>
          </w:p>
        </w:tc>
        <w:tc>
          <w:tcPr>
            <w:tcW w:w="1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19,488</w:t>
            </w:r>
          </w:p>
        </w:tc>
        <w:tc>
          <w:tcPr>
            <w:tcW w:w="0" w:type="dxa"/>
            <w:vAlign w:val="bottom"/>
          </w:tcPr>
          <w:p>
            <w:pPr>
              <w:spacing w:after="0"/>
              <w:rPr>
                <w:sz w:val="1"/>
                <w:szCs w:val="1"/>
                <w:color w:val="auto"/>
              </w:rPr>
            </w:pPr>
          </w:p>
        </w:tc>
      </w:tr>
      <w:tr>
        <w:trPr>
          <w:trHeight w:val="196"/>
        </w:trPr>
        <w:tc>
          <w:tcPr>
            <w:tcW w:w="4180" w:type="dxa"/>
            <w:vAlign w:val="bottom"/>
            <w:tcBorders>
              <w:bottom w:val="single" w:sz="8" w:color="CCEEFF"/>
            </w:tcBorders>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860" w:type="dxa"/>
            <w:vAlign w:val="bottom"/>
            <w:tcBorders>
              <w:top w:val="single" w:sz="8" w:color="auto"/>
              <w:bottom w:val="single" w:sz="8" w:color="auto"/>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840" w:type="dxa"/>
            <w:vAlign w:val="bottom"/>
            <w:tcBorders>
              <w:top w:val="single" w:sz="8" w:color="auto"/>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840" w:type="dxa"/>
            <w:vAlign w:val="bottom"/>
            <w:tcBorders>
              <w:top w:val="single" w:sz="8" w:color="auto"/>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860" w:type="dxa"/>
            <w:vAlign w:val="bottom"/>
            <w:tcBorders>
              <w:top w:val="single" w:sz="8" w:color="auto"/>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80" w:type="dxa"/>
            <w:vAlign w:val="bottom"/>
            <w:tcBorders>
              <w:top w:val="single" w:sz="8" w:color="auto"/>
              <w:bottom w:val="single" w:sz="8" w:color="auto"/>
            </w:tcBorders>
          </w:tcPr>
          <w:p>
            <w:pPr>
              <w:spacing w:after="0"/>
              <w:rPr>
                <w:sz w:val="17"/>
                <w:szCs w:val="17"/>
                <w:color w:val="auto"/>
              </w:rPr>
            </w:pPr>
          </w:p>
        </w:tc>
        <w:tc>
          <w:tcPr>
            <w:tcW w:w="820" w:type="dxa"/>
            <w:vAlign w:val="bottom"/>
            <w:tcBorders>
              <w:top w:val="single" w:sz="8" w:color="auto"/>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860" w:type="dxa"/>
            <w:vAlign w:val="bottom"/>
            <w:tcBorders>
              <w:top w:val="single" w:sz="8" w:color="auto"/>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4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Total Loans and preferred equity held for investment</w:t>
            </w:r>
          </w:p>
        </w:tc>
        <w:tc>
          <w:tcPr>
            <w:tcW w:w="240" w:type="dxa"/>
            <w:vAlign w:val="bottom"/>
            <w:tcBorders>
              <w:bottom w:val="single" w:sz="8" w:color="CCEEFF"/>
            </w:tcBorders>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790,158</w:t>
            </w:r>
          </w:p>
        </w:tc>
        <w:tc>
          <w:tcPr>
            <w:tcW w:w="8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677,516</w:t>
            </w:r>
          </w:p>
        </w:tc>
        <w:tc>
          <w:tcPr>
            <w:tcW w:w="340" w:type="dxa"/>
            <w:vAlign w:val="bottom"/>
            <w:tcBorders>
              <w:bottom w:val="single" w:sz="8" w:color="CCEEFF"/>
            </w:tcBorders>
            <w:gridSpan w:val="2"/>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85,888</w:t>
            </w:r>
          </w:p>
        </w:tc>
        <w:tc>
          <w:tcPr>
            <w:tcW w:w="1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15,105</w:t>
            </w:r>
          </w:p>
        </w:tc>
        <w:tc>
          <w:tcPr>
            <w:tcW w:w="10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1,513,657</w:t>
            </w:r>
          </w:p>
        </w:tc>
        <w:tc>
          <w:tcPr>
            <w:tcW w:w="1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3,082,324</w:t>
            </w:r>
          </w:p>
        </w:tc>
        <w:tc>
          <w:tcPr>
            <w:tcW w:w="0" w:type="dxa"/>
            <w:vAlign w:val="bottom"/>
          </w:tcPr>
          <w:p>
            <w:pPr>
              <w:spacing w:after="0"/>
              <w:rPr>
                <w:sz w:val="1"/>
                <w:szCs w:val="1"/>
                <w:color w:val="auto"/>
              </w:rPr>
            </w:pPr>
          </w:p>
        </w:tc>
      </w:tr>
      <w:tr>
        <w:trPr>
          <w:trHeight w:val="210"/>
        </w:trPr>
        <w:tc>
          <w:tcPr>
            <w:tcW w:w="41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Current period gross write-offs</w:t>
            </w:r>
          </w:p>
        </w:tc>
        <w:tc>
          <w:tcPr>
            <w:tcW w:w="240" w:type="dxa"/>
            <w:vAlign w:val="bottom"/>
            <w:tcBorders>
              <w:top w:val="single" w:sz="8" w:color="auto"/>
              <w:bottom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8"/>
                <w:szCs w:val="18"/>
                <w:color w:val="auto"/>
              </w:rPr>
            </w:pPr>
          </w:p>
        </w:tc>
        <w:tc>
          <w:tcPr>
            <w:tcW w:w="260" w:type="dxa"/>
            <w:vAlign w:val="bottom"/>
            <w:tcBorders>
              <w:top w:val="single" w:sz="8" w:color="auto"/>
              <w:bottom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8"/>
                <w:szCs w:val="18"/>
                <w:color w:val="auto"/>
              </w:rPr>
            </w:pPr>
          </w:p>
        </w:tc>
        <w:tc>
          <w:tcPr>
            <w:tcW w:w="280" w:type="dxa"/>
            <w:vAlign w:val="bottom"/>
            <w:tcBorders>
              <w:top w:val="single" w:sz="8" w:color="auto"/>
              <w:bottom w:val="single" w:sz="8" w:color="auto"/>
            </w:tcBorders>
          </w:tcPr>
          <w:p>
            <w:pPr>
              <w:jc w:val="right"/>
              <w:ind w:right="128"/>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11,116</w:t>
            </w:r>
          </w:p>
        </w:tc>
        <w:tc>
          <w:tcPr>
            <w:tcW w:w="10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11,116</w:t>
            </w:r>
          </w:p>
        </w:tc>
        <w:tc>
          <w:tcPr>
            <w:tcW w:w="0" w:type="dxa"/>
            <w:vAlign w:val="bottom"/>
          </w:tcPr>
          <w:p>
            <w:pPr>
              <w:spacing w:after="0"/>
              <w:rPr>
                <w:sz w:val="1"/>
                <w:szCs w:val="1"/>
                <w:color w:val="auto"/>
              </w:rPr>
            </w:pPr>
          </w:p>
        </w:tc>
      </w:tr>
      <w:tr>
        <w:trPr>
          <w:trHeight w:val="20"/>
        </w:trPr>
        <w:tc>
          <w:tcPr>
            <w:tcW w:w="41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December 31, 2025, the weighted average risk ranking for loans and preferred equity held for investment was 3.1.</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1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140" w:type="dxa"/>
            <w:vAlign w:val="bottom"/>
            <w:gridSpan w:val="5"/>
          </w:tcPr>
          <w:p>
            <w:pPr>
              <w:ind w:left="320"/>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2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18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gridSpan w:val="4"/>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41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80" w:type="dxa"/>
            <w:vAlign w:val="bottom"/>
            <w:gridSpan w:val="4"/>
          </w:tcPr>
          <w:p>
            <w:pPr>
              <w:ind w:left="40"/>
              <w:spacing w:after="0"/>
              <w:rPr>
                <w:sz w:val="20"/>
                <w:szCs w:val="20"/>
                <w:color w:val="auto"/>
              </w:rPr>
            </w:pPr>
            <w:r>
              <w:rPr>
                <w:rFonts w:ascii="Times New Roman" w:cs="Times New Roman" w:eastAsia="Times New Roman" w:hAnsi="Times New Roman"/>
                <w:sz w:val="14"/>
                <w:szCs w:val="14"/>
                <w:b w:val="1"/>
                <w:bCs w:val="1"/>
                <w:color w:val="auto"/>
              </w:rPr>
              <w:t>Year of Origination</w:t>
            </w:r>
          </w:p>
        </w:tc>
        <w:tc>
          <w:tcPr>
            <w:tcW w:w="2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180" w:type="dxa"/>
            <w:vAlign w:val="bottom"/>
            <w:vMerge w:val="restart"/>
          </w:tcPr>
          <w:p>
            <w:pPr>
              <w:ind w:left="1600"/>
              <w:spacing w:after="0"/>
              <w:rPr>
                <w:sz w:val="20"/>
                <w:szCs w:val="20"/>
                <w:color w:val="auto"/>
              </w:rPr>
            </w:pPr>
            <w:r>
              <w:rPr>
                <w:rFonts w:ascii="Times New Roman" w:cs="Times New Roman" w:eastAsia="Times New Roman" w:hAnsi="Times New Roman"/>
                <w:sz w:val="14"/>
                <w:szCs w:val="14"/>
                <w:b w:val="1"/>
                <w:bCs w:val="1"/>
                <w:color w:val="auto"/>
              </w:rPr>
              <w:t>Risk Rankings</w:t>
            </w: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gridSpan w:val="2"/>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vMerge w:val="restart"/>
          </w:tcPr>
          <w:p>
            <w:pPr>
              <w:jc w:val="right"/>
              <w:ind w:right="32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86"/>
        </w:trPr>
        <w:tc>
          <w:tcPr>
            <w:tcW w:w="418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jc w:val="right"/>
              <w:ind w:right="328"/>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tcPr>
          <w:p>
            <w:pPr>
              <w:jc w:val="right"/>
              <w:ind w:right="328"/>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tcPr>
          <w:p>
            <w:pPr>
              <w:jc w:val="right"/>
              <w:ind w:right="328"/>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jc w:val="right"/>
              <w:ind w:right="328"/>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6"/>
                <w:szCs w:val="16"/>
                <w:color w:val="auto"/>
              </w:rPr>
            </w:pPr>
          </w:p>
        </w:tc>
        <w:tc>
          <w:tcPr>
            <w:tcW w:w="120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2021 and earlier</w:t>
            </w:r>
          </w:p>
        </w:tc>
        <w:tc>
          <w:tcPr>
            <w:tcW w:w="24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1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6"/>
        </w:trPr>
        <w:tc>
          <w:tcPr>
            <w:tcW w:w="4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Senior loans</w:t>
            </w:r>
          </w:p>
        </w:tc>
        <w:tc>
          <w:tcPr>
            <w:tcW w:w="240" w:type="dxa"/>
            <w:vAlign w:val="bottom"/>
            <w:tcBorders>
              <w:bottom w:val="single" w:sz="8" w:color="CCEEFF"/>
            </w:tcBorders>
            <w:shd w:val="clear" w:color="auto" w:fill="CCEEFF"/>
          </w:tcPr>
          <w:p>
            <w:pPr>
              <w:spacing w:after="0"/>
              <w:rPr>
                <w:sz w:val="15"/>
                <w:szCs w:val="15"/>
                <w:color w:val="auto"/>
              </w:rPr>
            </w:pPr>
          </w:p>
        </w:tc>
        <w:tc>
          <w:tcPr>
            <w:tcW w:w="86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spacing w:after="0"/>
              <w:rPr>
                <w:sz w:val="15"/>
                <w:szCs w:val="15"/>
                <w:color w:val="auto"/>
              </w:rPr>
            </w:pPr>
          </w:p>
        </w:tc>
        <w:tc>
          <w:tcPr>
            <w:tcW w:w="84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15"/>
                <w:szCs w:val="15"/>
                <w:color w:val="auto"/>
              </w:rPr>
            </w:pPr>
          </w:p>
        </w:tc>
        <w:tc>
          <w:tcPr>
            <w:tcW w:w="84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15"/>
                <w:szCs w:val="15"/>
                <w:color w:val="auto"/>
              </w:rPr>
            </w:pPr>
          </w:p>
        </w:tc>
        <w:tc>
          <w:tcPr>
            <w:tcW w:w="86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CCEEFF"/>
            </w:tcBorders>
            <w:shd w:val="clear" w:color="auto" w:fill="CCEEFF"/>
          </w:tcPr>
          <w:p>
            <w:pPr>
              <w:spacing w:after="0"/>
              <w:rPr>
                <w:sz w:val="15"/>
                <w:szCs w:val="15"/>
                <w:color w:val="auto"/>
              </w:rPr>
            </w:pPr>
          </w:p>
        </w:tc>
        <w:tc>
          <w:tcPr>
            <w:tcW w:w="8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15"/>
                <w:szCs w:val="15"/>
                <w:color w:val="auto"/>
              </w:rPr>
            </w:pPr>
          </w:p>
        </w:tc>
        <w:tc>
          <w:tcPr>
            <w:tcW w:w="86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4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4180" w:type="dxa"/>
            <w:vAlign w:val="bottom"/>
            <w:tcBorders>
              <w:bottom w:val="single" w:sz="8" w:color="CCEEFF"/>
            </w:tcBorders>
            <w:shd w:val="clear" w:color="auto" w:fill="CCEEFF"/>
          </w:tcPr>
          <w:p>
            <w:pPr>
              <w:ind w:left="2020"/>
              <w:spacing w:after="0"/>
              <w:rPr>
                <w:sz w:val="20"/>
                <w:szCs w:val="20"/>
                <w:color w:val="auto"/>
              </w:rPr>
            </w:pPr>
            <w:r>
              <w:rPr>
                <w:rFonts w:ascii="Times New Roman" w:cs="Times New Roman" w:eastAsia="Times New Roman" w:hAnsi="Times New Roman"/>
                <w:sz w:val="14"/>
                <w:szCs w:val="14"/>
                <w:color w:val="auto"/>
              </w:rPr>
              <w:t>3</w:t>
            </w:r>
          </w:p>
        </w:tc>
        <w:tc>
          <w:tcPr>
            <w:tcW w:w="240" w:type="dxa"/>
            <w:vAlign w:val="bottom"/>
            <w:tcBorders>
              <w:bottom w:val="single" w:sz="8" w:color="CCEEFF"/>
            </w:tcBorders>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723,723</w:t>
            </w:r>
          </w:p>
        </w:tc>
        <w:tc>
          <w:tcPr>
            <w:tcW w:w="8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79,019</w:t>
            </w:r>
          </w:p>
        </w:tc>
        <w:tc>
          <w:tcPr>
            <w:tcW w:w="3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bottom w:val="single" w:sz="8" w:color="CCEEFF"/>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630,338</w:t>
            </w:r>
          </w:p>
        </w:tc>
        <w:tc>
          <w:tcPr>
            <w:tcW w:w="10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965,963</w:t>
            </w:r>
          </w:p>
        </w:tc>
        <w:tc>
          <w:tcPr>
            <w:tcW w:w="10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2,399,043</w:t>
            </w:r>
          </w:p>
        </w:tc>
        <w:tc>
          <w:tcPr>
            <w:tcW w:w="0" w:type="dxa"/>
            <w:vAlign w:val="bottom"/>
          </w:tcPr>
          <w:p>
            <w:pPr>
              <w:spacing w:after="0"/>
              <w:rPr>
                <w:sz w:val="1"/>
                <w:szCs w:val="1"/>
                <w:color w:val="auto"/>
              </w:rPr>
            </w:pPr>
          </w:p>
        </w:tc>
      </w:tr>
      <w:tr>
        <w:trPr>
          <w:trHeight w:val="193"/>
        </w:trPr>
        <w:tc>
          <w:tcPr>
            <w:tcW w:w="4180" w:type="dxa"/>
            <w:vAlign w:val="bottom"/>
          </w:tcPr>
          <w:p>
            <w:pPr>
              <w:ind w:left="2020"/>
              <w:spacing w:after="0"/>
              <w:rPr>
                <w:sz w:val="20"/>
                <w:szCs w:val="20"/>
                <w:color w:val="auto"/>
              </w:rPr>
            </w:pPr>
            <w:r>
              <w:rPr>
                <w:rFonts w:ascii="Times New Roman" w:cs="Times New Roman" w:eastAsia="Times New Roman" w:hAnsi="Times New Roman"/>
                <w:sz w:val="14"/>
                <w:szCs w:val="14"/>
                <w:color w:val="auto"/>
              </w:rPr>
              <w:t>4</w:t>
            </w:r>
          </w:p>
        </w:tc>
        <w:tc>
          <w:tcPr>
            <w:tcW w:w="240" w:type="dxa"/>
            <w:vAlign w:val="bottom"/>
          </w:tcPr>
          <w:p>
            <w:pPr>
              <w:spacing w:after="0"/>
              <w:rPr>
                <w:sz w:val="16"/>
                <w:szCs w:val="16"/>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65,123</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65,123</w:t>
            </w:r>
          </w:p>
        </w:tc>
        <w:tc>
          <w:tcPr>
            <w:tcW w:w="0" w:type="dxa"/>
            <w:vAlign w:val="bottom"/>
          </w:tcPr>
          <w:p>
            <w:pPr>
              <w:spacing w:after="0"/>
              <w:rPr>
                <w:sz w:val="1"/>
                <w:szCs w:val="1"/>
                <w:color w:val="auto"/>
              </w:rPr>
            </w:pPr>
          </w:p>
        </w:tc>
      </w:tr>
      <w:tr>
        <w:trPr>
          <w:trHeight w:val="23"/>
        </w:trPr>
        <w:tc>
          <w:tcPr>
            <w:tcW w:w="41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180" w:type="dxa"/>
            <w:vAlign w:val="bottom"/>
            <w:tcBorders>
              <w:bottom w:val="single" w:sz="8" w:color="CCEEFF"/>
            </w:tcBorders>
            <w:shd w:val="clear" w:color="auto" w:fill="CCEEFF"/>
          </w:tcPr>
          <w:p>
            <w:pPr>
              <w:ind w:left="2020"/>
              <w:spacing w:after="0"/>
              <w:rPr>
                <w:sz w:val="20"/>
                <w:szCs w:val="20"/>
                <w:color w:val="auto"/>
              </w:rPr>
            </w:pPr>
            <w:r>
              <w:rPr>
                <w:rFonts w:ascii="Times New Roman" w:cs="Times New Roman" w:eastAsia="Times New Roman" w:hAnsi="Times New Roman"/>
                <w:sz w:val="14"/>
                <w:szCs w:val="14"/>
                <w:color w:val="auto"/>
              </w:rPr>
              <w:t>5</w:t>
            </w:r>
          </w:p>
        </w:tc>
        <w:tc>
          <w:tcPr>
            <w:tcW w:w="24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Borders>
              <w:bottom w:val="single" w:sz="8" w:color="CCEEFF"/>
            </w:tcBorders>
            <w:shd w:val="clear" w:color="auto" w:fill="CCEEFF"/>
          </w:tcPr>
          <w:p>
            <w:pPr>
              <w:spacing w:after="0"/>
              <w:rPr>
                <w:sz w:val="18"/>
                <w:szCs w:val="18"/>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88,880</w:t>
            </w:r>
          </w:p>
        </w:tc>
        <w:tc>
          <w:tcPr>
            <w:tcW w:w="10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64,787</w:t>
            </w:r>
          </w:p>
        </w:tc>
        <w:tc>
          <w:tcPr>
            <w:tcW w:w="1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153,667</w:t>
            </w:r>
          </w:p>
        </w:tc>
        <w:tc>
          <w:tcPr>
            <w:tcW w:w="0" w:type="dxa"/>
            <w:vAlign w:val="bottom"/>
          </w:tcPr>
          <w:p>
            <w:pPr>
              <w:spacing w:after="0"/>
              <w:rPr>
                <w:sz w:val="1"/>
                <w:szCs w:val="1"/>
                <w:color w:val="auto"/>
              </w:rPr>
            </w:pPr>
          </w:p>
        </w:tc>
      </w:tr>
      <w:tr>
        <w:trPr>
          <w:trHeight w:val="186"/>
        </w:trPr>
        <w:tc>
          <w:tcPr>
            <w:tcW w:w="41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Total Senior loans</w:t>
            </w:r>
          </w:p>
        </w:tc>
        <w:tc>
          <w:tcPr>
            <w:tcW w:w="240" w:type="dxa"/>
            <w:vAlign w:val="bottom"/>
            <w:tcBorders>
              <w:top w:val="single" w:sz="8" w:color="auto"/>
            </w:tcBorders>
          </w:tcPr>
          <w:p>
            <w:pPr>
              <w:spacing w:after="0"/>
              <w:rPr>
                <w:sz w:val="16"/>
                <w:szCs w:val="16"/>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723,723</w:t>
            </w:r>
          </w:p>
        </w:tc>
        <w:tc>
          <w:tcPr>
            <w:tcW w:w="80" w:type="dxa"/>
            <w:vAlign w:val="bottom"/>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79,019</w:t>
            </w:r>
          </w:p>
        </w:tc>
        <w:tc>
          <w:tcPr>
            <w:tcW w:w="10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719,218</w:t>
            </w:r>
          </w:p>
        </w:tc>
        <w:tc>
          <w:tcPr>
            <w:tcW w:w="100" w:type="dxa"/>
            <w:vAlign w:val="bottom"/>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1,095,873</w:t>
            </w:r>
          </w:p>
        </w:tc>
        <w:tc>
          <w:tcPr>
            <w:tcW w:w="10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2,617,833</w:t>
            </w:r>
          </w:p>
        </w:tc>
        <w:tc>
          <w:tcPr>
            <w:tcW w:w="0" w:type="dxa"/>
            <w:vAlign w:val="bottom"/>
          </w:tcPr>
          <w:p>
            <w:pPr>
              <w:spacing w:after="0"/>
              <w:rPr>
                <w:sz w:val="1"/>
                <w:szCs w:val="1"/>
                <w:color w:val="auto"/>
              </w:rPr>
            </w:pPr>
          </w:p>
        </w:tc>
      </w:tr>
      <w:tr>
        <w:trPr>
          <w:trHeight w:val="23"/>
        </w:trPr>
        <w:tc>
          <w:tcPr>
            <w:tcW w:w="41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41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3"/>
        </w:trPr>
        <w:tc>
          <w:tcPr>
            <w:tcW w:w="41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Mezzanine loans</w:t>
            </w:r>
          </w:p>
        </w:tc>
        <w:tc>
          <w:tcPr>
            <w:tcW w:w="2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1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2"/>
        </w:trPr>
        <w:tc>
          <w:tcPr>
            <w:tcW w:w="41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3"/>
        </w:trPr>
        <w:tc>
          <w:tcPr>
            <w:tcW w:w="4180" w:type="dxa"/>
            <w:vAlign w:val="bottom"/>
          </w:tcPr>
          <w:p>
            <w:pPr>
              <w:ind w:left="2020"/>
              <w:spacing w:after="0"/>
              <w:rPr>
                <w:sz w:val="20"/>
                <w:szCs w:val="20"/>
                <w:color w:val="auto"/>
              </w:rPr>
            </w:pPr>
            <w:r>
              <w:rPr>
                <w:rFonts w:ascii="Times New Roman" w:cs="Times New Roman" w:eastAsia="Times New Roman" w:hAnsi="Times New Roman"/>
                <w:sz w:val="14"/>
                <w:szCs w:val="14"/>
                <w:color w:val="auto"/>
              </w:rPr>
              <w:t>3</w:t>
            </w:r>
          </w:p>
        </w:tc>
        <w:tc>
          <w:tcPr>
            <w:tcW w:w="240" w:type="dxa"/>
            <w:vAlign w:val="bottom"/>
          </w:tcPr>
          <w:p>
            <w:pPr>
              <w:spacing w:after="0"/>
              <w:rPr>
                <w:sz w:val="16"/>
                <w:szCs w:val="16"/>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14,692</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34,377</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49,069</w:t>
            </w:r>
          </w:p>
        </w:tc>
        <w:tc>
          <w:tcPr>
            <w:tcW w:w="0" w:type="dxa"/>
            <w:vAlign w:val="bottom"/>
          </w:tcPr>
          <w:p>
            <w:pPr>
              <w:spacing w:after="0"/>
              <w:rPr>
                <w:sz w:val="1"/>
                <w:szCs w:val="1"/>
                <w:color w:val="auto"/>
              </w:rPr>
            </w:pPr>
          </w:p>
        </w:tc>
      </w:tr>
      <w:tr>
        <w:trPr>
          <w:trHeight w:val="23"/>
        </w:trPr>
        <w:tc>
          <w:tcPr>
            <w:tcW w:w="41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4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Total Mezzanine loans</w:t>
            </w:r>
          </w:p>
        </w:tc>
        <w:tc>
          <w:tcPr>
            <w:tcW w:w="24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Borders>
              <w:bottom w:val="single" w:sz="8" w:color="CCEEFF"/>
            </w:tcBorders>
            <w:shd w:val="clear" w:color="auto" w:fill="CCEEFF"/>
          </w:tcPr>
          <w:p>
            <w:pPr>
              <w:spacing w:after="0"/>
              <w:rPr>
                <w:sz w:val="18"/>
                <w:szCs w:val="18"/>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14,692</w:t>
            </w:r>
          </w:p>
        </w:tc>
        <w:tc>
          <w:tcPr>
            <w:tcW w:w="1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34,377</w:t>
            </w:r>
          </w:p>
        </w:tc>
        <w:tc>
          <w:tcPr>
            <w:tcW w:w="10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49,069</w:t>
            </w:r>
          </w:p>
        </w:tc>
        <w:tc>
          <w:tcPr>
            <w:tcW w:w="0" w:type="dxa"/>
            <w:vAlign w:val="bottom"/>
          </w:tcPr>
          <w:p>
            <w:pPr>
              <w:spacing w:after="0"/>
              <w:rPr>
                <w:sz w:val="1"/>
                <w:szCs w:val="1"/>
                <w:color w:val="auto"/>
              </w:rPr>
            </w:pPr>
          </w:p>
        </w:tc>
      </w:tr>
      <w:tr>
        <w:trPr>
          <w:trHeight w:val="196"/>
        </w:trPr>
        <w:tc>
          <w:tcPr>
            <w:tcW w:w="418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Preferred Equity</w:t>
            </w:r>
          </w:p>
        </w:tc>
        <w:tc>
          <w:tcPr>
            <w:tcW w:w="24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8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8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spacing w:after="0"/>
              <w:rPr>
                <w:sz w:val="17"/>
                <w:szCs w:val="17"/>
                <w:color w:val="auto"/>
              </w:rPr>
            </w:pPr>
          </w:p>
        </w:tc>
        <w:tc>
          <w:tcPr>
            <w:tcW w:w="8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4180" w:type="dxa"/>
            <w:vAlign w:val="bottom"/>
          </w:tcPr>
          <w:p>
            <w:pPr>
              <w:ind w:left="2020"/>
              <w:spacing w:after="0"/>
              <w:rPr>
                <w:sz w:val="20"/>
                <w:szCs w:val="20"/>
                <w:color w:val="auto"/>
              </w:rPr>
            </w:pPr>
            <w:r>
              <w:rPr>
                <w:rFonts w:ascii="Times New Roman" w:cs="Times New Roman" w:eastAsia="Times New Roman" w:hAnsi="Times New Roman"/>
                <w:sz w:val="14"/>
                <w:szCs w:val="14"/>
                <w:color w:val="auto"/>
              </w:rPr>
              <w:t>3</w:t>
            </w:r>
          </w:p>
        </w:tc>
        <w:tc>
          <w:tcPr>
            <w:tcW w:w="2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10,327</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6"/>
                <w:szCs w:val="16"/>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10,327</w:t>
            </w:r>
          </w:p>
        </w:tc>
        <w:tc>
          <w:tcPr>
            <w:tcW w:w="0" w:type="dxa"/>
            <w:vAlign w:val="bottom"/>
          </w:tcPr>
          <w:p>
            <w:pPr>
              <w:spacing w:after="0"/>
              <w:rPr>
                <w:sz w:val="1"/>
                <w:szCs w:val="1"/>
                <w:color w:val="auto"/>
              </w:rPr>
            </w:pPr>
          </w:p>
        </w:tc>
      </w:tr>
      <w:tr>
        <w:trPr>
          <w:trHeight w:val="23"/>
        </w:trPr>
        <w:tc>
          <w:tcPr>
            <w:tcW w:w="41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180" w:type="dxa"/>
            <w:vAlign w:val="bottom"/>
            <w:tcBorders>
              <w:bottom w:val="single" w:sz="8" w:color="CCEEFF"/>
            </w:tcBorders>
            <w:shd w:val="clear" w:color="auto" w:fill="CCEEFF"/>
          </w:tcPr>
          <w:p>
            <w:pPr>
              <w:ind w:left="2020"/>
              <w:spacing w:after="0"/>
              <w:rPr>
                <w:sz w:val="20"/>
                <w:szCs w:val="20"/>
                <w:color w:val="auto"/>
              </w:rPr>
            </w:pPr>
            <w:r>
              <w:rPr>
                <w:rFonts w:ascii="Times New Roman" w:cs="Times New Roman" w:eastAsia="Times New Roman" w:hAnsi="Times New Roman"/>
                <w:sz w:val="14"/>
                <w:szCs w:val="14"/>
                <w:color w:val="auto"/>
              </w:rPr>
              <w:t>4</w:t>
            </w:r>
          </w:p>
        </w:tc>
        <w:tc>
          <w:tcPr>
            <w:tcW w:w="24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1,086</w:t>
            </w:r>
          </w:p>
        </w:tc>
        <w:tc>
          <w:tcPr>
            <w:tcW w:w="8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1,086</w:t>
            </w:r>
          </w:p>
        </w:tc>
        <w:tc>
          <w:tcPr>
            <w:tcW w:w="0" w:type="dxa"/>
            <w:vAlign w:val="bottom"/>
          </w:tcPr>
          <w:p>
            <w:pPr>
              <w:spacing w:after="0"/>
              <w:rPr>
                <w:sz w:val="1"/>
                <w:szCs w:val="1"/>
                <w:color w:val="auto"/>
              </w:rPr>
            </w:pPr>
          </w:p>
        </w:tc>
      </w:tr>
      <w:tr>
        <w:trPr>
          <w:trHeight w:val="186"/>
        </w:trPr>
        <w:tc>
          <w:tcPr>
            <w:tcW w:w="41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Total Preferred Equity</w:t>
            </w:r>
          </w:p>
        </w:tc>
        <w:tc>
          <w:tcPr>
            <w:tcW w:w="240" w:type="dxa"/>
            <w:vAlign w:val="bottom"/>
            <w:tcBorders>
              <w:top w:val="single" w:sz="8" w:color="auto"/>
            </w:tcBorders>
          </w:tcPr>
          <w:p>
            <w:pPr>
              <w:spacing w:after="0"/>
              <w:rPr>
                <w:sz w:val="16"/>
                <w:szCs w:val="16"/>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11,413</w:t>
            </w:r>
          </w:p>
        </w:tc>
        <w:tc>
          <w:tcPr>
            <w:tcW w:w="80" w:type="dxa"/>
            <w:vAlign w:val="bottom"/>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11,413</w:t>
            </w:r>
          </w:p>
        </w:tc>
        <w:tc>
          <w:tcPr>
            <w:tcW w:w="0" w:type="dxa"/>
            <w:vAlign w:val="bottom"/>
          </w:tcPr>
          <w:p>
            <w:pPr>
              <w:spacing w:after="0"/>
              <w:rPr>
                <w:sz w:val="1"/>
                <w:szCs w:val="1"/>
                <w:color w:val="auto"/>
              </w:rPr>
            </w:pPr>
          </w:p>
        </w:tc>
      </w:tr>
      <w:tr>
        <w:trPr>
          <w:trHeight w:val="24"/>
        </w:trPr>
        <w:tc>
          <w:tcPr>
            <w:tcW w:w="41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418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6"/>
        </w:trPr>
        <w:tc>
          <w:tcPr>
            <w:tcW w:w="41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Total Loans and preferred equity held for investment</w:t>
            </w:r>
          </w:p>
        </w:tc>
        <w:tc>
          <w:tcPr>
            <w:tcW w:w="24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735,136</w:t>
            </w:r>
          </w:p>
        </w:tc>
        <w:tc>
          <w:tcPr>
            <w:tcW w:w="80" w:type="dxa"/>
            <w:vAlign w:val="bottom"/>
          </w:tcPr>
          <w:p>
            <w:pPr>
              <w:spacing w:after="0"/>
              <w:rPr>
                <w:sz w:val="16"/>
                <w:szCs w:val="16"/>
                <w:color w:val="auto"/>
              </w:rPr>
            </w:pPr>
          </w:p>
        </w:tc>
        <w:tc>
          <w:tcPr>
            <w:tcW w:w="26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79,019</w:t>
            </w:r>
          </w:p>
        </w:tc>
        <w:tc>
          <w:tcPr>
            <w:tcW w:w="3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14,692</w:t>
            </w:r>
          </w:p>
        </w:tc>
        <w:tc>
          <w:tcPr>
            <w:tcW w:w="100" w:type="dxa"/>
            <w:vAlign w:val="bottom"/>
          </w:tcPr>
          <w:p>
            <w:pPr>
              <w:spacing w:after="0"/>
              <w:rPr>
                <w:sz w:val="16"/>
                <w:szCs w:val="16"/>
                <w:color w:val="auto"/>
              </w:rPr>
            </w:pPr>
          </w:p>
        </w:tc>
        <w:tc>
          <w:tcPr>
            <w:tcW w:w="24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753,595</w:t>
            </w:r>
          </w:p>
        </w:tc>
        <w:tc>
          <w:tcPr>
            <w:tcW w:w="100" w:type="dxa"/>
            <w:vAlign w:val="bottom"/>
          </w:tcPr>
          <w:p>
            <w:pPr>
              <w:spacing w:after="0"/>
              <w:rPr>
                <w:sz w:val="16"/>
                <w:szCs w:val="16"/>
                <w:color w:val="auto"/>
              </w:rPr>
            </w:pPr>
          </w:p>
        </w:tc>
        <w:tc>
          <w:tcPr>
            <w:tcW w:w="28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1,095,873</w:t>
            </w:r>
          </w:p>
        </w:tc>
        <w:tc>
          <w:tcPr>
            <w:tcW w:w="100" w:type="dxa"/>
            <w:vAlign w:val="bottom"/>
          </w:tcPr>
          <w:p>
            <w:pPr>
              <w:spacing w:after="0"/>
              <w:rPr>
                <w:sz w:val="16"/>
                <w:szCs w:val="16"/>
                <w:color w:val="auto"/>
              </w:rPr>
            </w:pPr>
          </w:p>
        </w:tc>
        <w:tc>
          <w:tcPr>
            <w:tcW w:w="24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2,678,315</w:t>
            </w:r>
          </w:p>
        </w:tc>
        <w:tc>
          <w:tcPr>
            <w:tcW w:w="0" w:type="dxa"/>
            <w:vAlign w:val="bottom"/>
          </w:tcPr>
          <w:p>
            <w:pPr>
              <w:spacing w:after="0"/>
              <w:rPr>
                <w:sz w:val="1"/>
                <w:szCs w:val="1"/>
                <w:color w:val="auto"/>
              </w:rPr>
            </w:pPr>
          </w:p>
        </w:tc>
      </w:tr>
      <w:tr>
        <w:trPr>
          <w:trHeight w:val="24"/>
        </w:trPr>
        <w:tc>
          <w:tcPr>
            <w:tcW w:w="41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4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Current period gross write-offs</w:t>
            </w:r>
            <w:r>
              <w:rPr>
                <w:rFonts w:ascii="Times New Roman" w:cs="Times New Roman" w:eastAsia="Times New Roman" w:hAnsi="Times New Roman"/>
                <w:sz w:val="18"/>
                <w:szCs w:val="18"/>
                <w:b w:val="1"/>
                <w:bCs w:val="1"/>
                <w:color w:val="auto"/>
                <w:vertAlign w:val="superscript"/>
              </w:rPr>
              <w:t>(1)</w:t>
            </w:r>
          </w:p>
        </w:tc>
        <w:tc>
          <w:tcPr>
            <w:tcW w:w="24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25,137</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77,307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102,444</w:t>
            </w:r>
          </w:p>
        </w:tc>
        <w:tc>
          <w:tcPr>
            <w:tcW w:w="0" w:type="dxa"/>
            <w:vAlign w:val="bottom"/>
          </w:tcPr>
          <w:p>
            <w:pPr>
              <w:spacing w:after="0"/>
              <w:rPr>
                <w:sz w:val="1"/>
                <w:szCs w:val="1"/>
                <w:color w:val="auto"/>
              </w:rPr>
            </w:pPr>
          </w:p>
        </w:tc>
      </w:tr>
      <w:tr>
        <w:trPr>
          <w:trHeight w:val="20"/>
        </w:trPr>
        <w:tc>
          <w:tcPr>
            <w:tcW w:w="418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4"/>
                <w:szCs w:val="14"/>
                <w:color w:val="auto"/>
              </w:rPr>
              <w:t>_____________________________________</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0"/>
        </w:trPr>
        <w:tc>
          <w:tcPr>
            <w:tcW w:w="4180" w:type="dxa"/>
            <w:vAlign w:val="bottom"/>
            <w:vMerge w:val="continue"/>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bl>
    <w:p>
      <w:pPr>
        <w:ind w:left="320" w:hanging="312"/>
        <w:spacing w:after="0"/>
        <w:tabs>
          <w:tab w:leader="none" w:pos="32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Current period gross write-offs exclude all transfers to real estate, net.</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4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6" w:name="page27"/>
    <w:bookmarkEnd w:id="2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BRIGHTSPIRE CAPITAL,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Lending Commitments</w:t>
      </w:r>
    </w:p>
    <w:p>
      <w:pPr>
        <w:spacing w:after="0" w:line="14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 has lending commitments to borrowers pursuant to certain loan and preferred equity agreements in which the borrower may submit a request for funding contingent on achieving certain criteria, which must be approved by the Company as lender, such as leasing, performance of capital expenditures and construction in progress with an approved budget. Assuming the terms to qualify for future advances, if any, had been met, total gross unfunded lending commitments were $145.2 million and $112.2 million at September 30, 2026 and December 31, 2025, respectively. Refer to Note 12, “Commitments and Contingencies” for further details. The Company recorded $0.9 million and $0.7 million for allowance for lending commitments in accrued and other liabilities on its consolidated balance sheets in accordance with CECL at September 30, 2026 and December 31, 2025, respectively. Refer to Note 2, “Summary of Significant Accounting Policies” for further details.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Real Estate, net</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the Company’s net lease portfolio, net, as of September 30, 2026 and December 31, 2025 (dollars in thousands):</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80" w:type="dxa"/>
            <w:vAlign w:val="bottom"/>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September 30, 2026</w:t>
            </w:r>
          </w:p>
        </w:tc>
        <w:tc>
          <w:tcPr>
            <w:tcW w:w="180" w:type="dxa"/>
            <w:vAlign w:val="bottom"/>
          </w:tcPr>
          <w:p>
            <w:pPr>
              <w:spacing w:after="0"/>
              <w:rPr>
                <w:sz w:val="18"/>
                <w:szCs w:val="18"/>
                <w:color w:val="auto"/>
              </w:rPr>
            </w:pPr>
          </w:p>
        </w:tc>
        <w:tc>
          <w:tcPr>
            <w:tcW w:w="1660" w:type="dxa"/>
            <w:vAlign w:val="bottom"/>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December 31, 2025</w:t>
            </w:r>
          </w:p>
        </w:tc>
      </w:tr>
      <w:tr>
        <w:trPr>
          <w:trHeight w:val="226"/>
        </w:trPr>
        <w:tc>
          <w:tcPr>
            <w:tcW w:w="74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Land and improvements</w:t>
            </w: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11,273</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1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78,805</w:t>
            </w:r>
          </w:p>
        </w:tc>
      </w:tr>
      <w:tr>
        <w:trPr>
          <w:trHeight w:val="226"/>
        </w:trPr>
        <w:tc>
          <w:tcPr>
            <w:tcW w:w="74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Buildings, building leaseholds, and improvements</w:t>
            </w:r>
          </w:p>
        </w:tc>
        <w:tc>
          <w:tcPr>
            <w:tcW w:w="18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93,386</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287,767</w:t>
            </w:r>
          </w:p>
        </w:tc>
      </w:tr>
      <w:tr>
        <w:trPr>
          <w:trHeight w:val="230"/>
        </w:trPr>
        <w:tc>
          <w:tcPr>
            <w:tcW w:w="7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Tenant improvements</w:t>
            </w:r>
          </w:p>
        </w:tc>
        <w:tc>
          <w:tcPr>
            <w:tcW w:w="180" w:type="dxa"/>
            <w:vAlign w:val="bottom"/>
            <w:tcBorders>
              <w:bottom w:val="single" w:sz="8" w:color="auto"/>
            </w:tcBorders>
            <w:shd w:val="clear" w:color="auto" w:fill="CCEEFF"/>
          </w:tcPr>
          <w:p>
            <w:pPr>
              <w:spacing w:after="0"/>
              <w:rPr>
                <w:sz w:val="19"/>
                <w:szCs w:val="19"/>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7,876</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13,781</w:t>
            </w:r>
          </w:p>
        </w:tc>
      </w:tr>
      <w:tr>
        <w:trPr>
          <w:trHeight w:val="223"/>
        </w:trPr>
        <w:tc>
          <w:tcPr>
            <w:tcW w:w="74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Subtotal</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112,535</w:t>
            </w:r>
          </w:p>
        </w:tc>
        <w:tc>
          <w:tcPr>
            <w:tcW w:w="100" w:type="dxa"/>
            <w:vAlign w:val="bottom"/>
          </w:tcPr>
          <w:p>
            <w:pPr>
              <w:spacing w:after="0"/>
              <w:rPr>
                <w:sz w:val="19"/>
                <w:szCs w:val="19"/>
                <w:color w:val="auto"/>
              </w:rPr>
            </w:pPr>
          </w:p>
        </w:tc>
        <w:tc>
          <w:tcPr>
            <w:tcW w:w="1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1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380,353</w:t>
            </w:r>
          </w:p>
        </w:tc>
      </w:tr>
      <w:tr>
        <w:trPr>
          <w:trHeight w:val="230"/>
        </w:trPr>
        <w:tc>
          <w:tcPr>
            <w:tcW w:w="7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Less: Accumulated depreciation</w:t>
            </w:r>
          </w:p>
        </w:tc>
        <w:tc>
          <w:tcPr>
            <w:tcW w:w="180" w:type="dxa"/>
            <w:vAlign w:val="bottom"/>
            <w:tcBorders>
              <w:bottom w:val="single" w:sz="8" w:color="auto"/>
            </w:tcBorders>
            <w:shd w:val="clear" w:color="auto" w:fill="CCEEFF"/>
          </w:tcPr>
          <w:p>
            <w:pPr>
              <w:spacing w:after="0"/>
              <w:rPr>
                <w:sz w:val="19"/>
                <w:szCs w:val="19"/>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(34,403)</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(86,871)</w:t>
            </w:r>
          </w:p>
        </w:tc>
      </w:tr>
      <w:tr>
        <w:trPr>
          <w:trHeight w:val="226"/>
        </w:trPr>
        <w:tc>
          <w:tcPr>
            <w:tcW w:w="74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lease portfolio, net</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78,132</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293,482</w:t>
            </w:r>
          </w:p>
        </w:tc>
      </w:tr>
      <w:tr>
        <w:trPr>
          <w:trHeight w:val="21"/>
        </w:trPr>
        <w:tc>
          <w:tcPr>
            <w:tcW w:w="74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r>
    </w:tbl>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the Company’s portfolio of other real estate, net as of September 30, 2026 and December 31, 2025 (dollars in thousands):</w:t>
      </w:r>
    </w:p>
    <w:p>
      <w:pPr>
        <w:spacing w:after="0" w:line="66"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80" w:type="dxa"/>
            <w:vAlign w:val="bottom"/>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September 30, 2026</w:t>
            </w:r>
          </w:p>
        </w:tc>
        <w:tc>
          <w:tcPr>
            <w:tcW w:w="180" w:type="dxa"/>
            <w:vAlign w:val="bottom"/>
          </w:tcPr>
          <w:p>
            <w:pPr>
              <w:spacing w:after="0"/>
              <w:rPr>
                <w:sz w:val="18"/>
                <w:szCs w:val="18"/>
                <w:color w:val="auto"/>
              </w:rPr>
            </w:pPr>
          </w:p>
        </w:tc>
        <w:tc>
          <w:tcPr>
            <w:tcW w:w="1660" w:type="dxa"/>
            <w:vAlign w:val="bottom"/>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December 31, 2025</w:t>
            </w:r>
          </w:p>
        </w:tc>
      </w:tr>
      <w:tr>
        <w:trPr>
          <w:trHeight w:val="226"/>
        </w:trPr>
        <w:tc>
          <w:tcPr>
            <w:tcW w:w="74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Land and improvements</w:t>
            </w: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117,697</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1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127,614</w:t>
            </w:r>
          </w:p>
        </w:tc>
      </w:tr>
      <w:tr>
        <w:trPr>
          <w:trHeight w:val="227"/>
        </w:trPr>
        <w:tc>
          <w:tcPr>
            <w:tcW w:w="74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Buildings, building leaseholds, and improvements</w:t>
            </w:r>
          </w:p>
        </w:tc>
        <w:tc>
          <w:tcPr>
            <w:tcW w:w="18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226,221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262,451</w:t>
            </w:r>
          </w:p>
        </w:tc>
      </w:tr>
      <w:tr>
        <w:trPr>
          <w:trHeight w:val="232"/>
        </w:trPr>
        <w:tc>
          <w:tcPr>
            <w:tcW w:w="7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Tenant improvements</w:t>
            </w:r>
          </w:p>
        </w:tc>
        <w:tc>
          <w:tcPr>
            <w:tcW w:w="180" w:type="dxa"/>
            <w:vAlign w:val="bottom"/>
            <w:shd w:val="clear" w:color="auto" w:fill="CCEEFF"/>
          </w:tcPr>
          <w:p>
            <w:pPr>
              <w:spacing w:after="0"/>
              <w:rPr>
                <w:sz w:val="20"/>
                <w:szCs w:val="20"/>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19,662</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18,097</w:t>
            </w:r>
          </w:p>
        </w:tc>
      </w:tr>
      <w:tr>
        <w:trPr>
          <w:trHeight w:val="226"/>
        </w:trPr>
        <w:tc>
          <w:tcPr>
            <w:tcW w:w="74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Furniture, fixtures and equipment</w:t>
            </w:r>
          </w:p>
        </w:tc>
        <w:tc>
          <w:tcPr>
            <w:tcW w:w="18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14,149</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13,938</w:t>
            </w:r>
          </w:p>
        </w:tc>
      </w:tr>
      <w:tr>
        <w:trPr>
          <w:trHeight w:val="230"/>
        </w:trPr>
        <w:tc>
          <w:tcPr>
            <w:tcW w:w="7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Construction-in-progress</w:t>
            </w:r>
          </w:p>
        </w:tc>
        <w:tc>
          <w:tcPr>
            <w:tcW w:w="180" w:type="dxa"/>
            <w:vAlign w:val="bottom"/>
            <w:tcBorders>
              <w:bottom w:val="single" w:sz="8" w:color="auto"/>
            </w:tcBorders>
            <w:shd w:val="clear" w:color="auto" w:fill="CCEEFF"/>
          </w:tcPr>
          <w:p>
            <w:pPr>
              <w:spacing w:after="0"/>
              <w:rPr>
                <w:sz w:val="19"/>
                <w:szCs w:val="19"/>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5,279</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7,972</w:t>
            </w:r>
          </w:p>
        </w:tc>
      </w:tr>
      <w:tr>
        <w:trPr>
          <w:trHeight w:val="223"/>
        </w:trPr>
        <w:tc>
          <w:tcPr>
            <w:tcW w:w="74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Subtotal</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383,008</w:t>
            </w:r>
          </w:p>
        </w:tc>
        <w:tc>
          <w:tcPr>
            <w:tcW w:w="100" w:type="dxa"/>
            <w:vAlign w:val="bottom"/>
          </w:tcPr>
          <w:p>
            <w:pPr>
              <w:spacing w:after="0"/>
              <w:rPr>
                <w:sz w:val="19"/>
                <w:szCs w:val="19"/>
                <w:color w:val="auto"/>
              </w:rPr>
            </w:pPr>
          </w:p>
        </w:tc>
        <w:tc>
          <w:tcPr>
            <w:tcW w:w="1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1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430,072</w:t>
            </w:r>
          </w:p>
        </w:tc>
      </w:tr>
      <w:tr>
        <w:trPr>
          <w:trHeight w:val="230"/>
        </w:trPr>
        <w:tc>
          <w:tcPr>
            <w:tcW w:w="7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Less: Accumulated depreciation</w:t>
            </w:r>
          </w:p>
        </w:tc>
        <w:tc>
          <w:tcPr>
            <w:tcW w:w="180" w:type="dxa"/>
            <w:vAlign w:val="bottom"/>
            <w:tcBorders>
              <w:bottom w:val="single" w:sz="8" w:color="auto"/>
            </w:tcBorders>
            <w:shd w:val="clear" w:color="auto" w:fill="CCEEFF"/>
          </w:tcPr>
          <w:p>
            <w:pPr>
              <w:spacing w:after="0"/>
              <w:rPr>
                <w:sz w:val="19"/>
                <w:szCs w:val="19"/>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(48,096)</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(43,775)</w:t>
            </w:r>
          </w:p>
        </w:tc>
      </w:tr>
      <w:tr>
        <w:trPr>
          <w:trHeight w:val="226"/>
        </w:trPr>
        <w:tc>
          <w:tcPr>
            <w:tcW w:w="74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 portfolio, net</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334,912</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386,297</w:t>
            </w:r>
          </w:p>
        </w:tc>
      </w:tr>
      <w:tr>
        <w:trPr>
          <w:trHeight w:val="20"/>
        </w:trPr>
        <w:tc>
          <w:tcPr>
            <w:tcW w:w="74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r>
    </w:tbl>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Depreciation Expense</w:t>
      </w:r>
    </w:p>
    <w:p>
      <w:pPr>
        <w:spacing w:after="0" w:line="16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Depreciation expense on real estate was $3.3 million and $6.8 million for the three months ended September 30, 2026 and 2025, respectively. Depreciation expense on real estate was $14.9 million and $20.3 million for the nine months ended September 30, 2026 and 2025, respectively.</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Property Operating Income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the three and nine months ended September 30, 2026 and 2025 the components of property operating income were as follows (dollars in thousands):</w:t>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900" w:type="dxa"/>
            <w:vAlign w:val="bottom"/>
          </w:tcPr>
          <w:p>
            <w:pPr>
              <w:spacing w:after="0"/>
              <w:rPr>
                <w:sz w:val="16"/>
                <w:szCs w:val="16"/>
                <w:color w:val="auto"/>
              </w:rPr>
            </w:pPr>
          </w:p>
        </w:tc>
        <w:tc>
          <w:tcPr>
            <w:tcW w:w="3200" w:type="dxa"/>
            <w:vAlign w:val="bottom"/>
            <w:gridSpan w:val="6"/>
          </w:tcPr>
          <w:p>
            <w:pPr>
              <w:ind w:left="44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300" w:type="dxa"/>
            <w:vAlign w:val="bottom"/>
          </w:tcPr>
          <w:p>
            <w:pPr>
              <w:spacing w:after="0"/>
              <w:rPr>
                <w:sz w:val="16"/>
                <w:szCs w:val="16"/>
                <w:color w:val="auto"/>
              </w:rPr>
            </w:pPr>
          </w:p>
        </w:tc>
        <w:tc>
          <w:tcPr>
            <w:tcW w:w="2840" w:type="dxa"/>
            <w:vAlign w:val="bottom"/>
            <w:gridSpan w:val="4"/>
          </w:tcPr>
          <w:p>
            <w:pPr>
              <w:jc w:val="right"/>
              <w:ind w:right="421"/>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23"/>
        </w:trPr>
        <w:tc>
          <w:tcPr>
            <w:tcW w:w="490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186"/>
        </w:trPr>
        <w:tc>
          <w:tcPr>
            <w:tcW w:w="490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2026</w:t>
            </w: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60" w:type="dxa"/>
            <w:vAlign w:val="bottom"/>
          </w:tcPr>
          <w:p>
            <w:pPr>
              <w:jc w:val="right"/>
              <w:ind w:right="541"/>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20" w:type="dxa"/>
            <w:vAlign w:val="bottom"/>
          </w:tcPr>
          <w:p>
            <w:pPr>
              <w:jc w:val="right"/>
              <w:ind w:right="542"/>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60" w:type="dxa"/>
            <w:vAlign w:val="bottom"/>
          </w:tcPr>
          <w:p>
            <w:pPr>
              <w:jc w:val="right"/>
              <w:ind w:right="541"/>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23"/>
        </w:trPr>
        <w:tc>
          <w:tcPr>
            <w:tcW w:w="490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09"/>
        </w:trPr>
        <w:tc>
          <w:tcPr>
            <w:tcW w:w="4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Lease revenues</w:t>
            </w:r>
          </w:p>
        </w:tc>
        <w:tc>
          <w:tcPr>
            <w:tcW w:w="9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r>
      <w:tr>
        <w:trPr>
          <w:trHeight w:val="227"/>
        </w:trPr>
        <w:tc>
          <w:tcPr>
            <w:tcW w:w="49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Minimum lease revenue</w:t>
            </w:r>
          </w:p>
        </w:tc>
        <w:tc>
          <w:tcPr>
            <w:tcW w:w="940" w:type="dxa"/>
            <w:vAlign w:val="bottom"/>
          </w:tcPr>
          <w:p>
            <w:pPr>
              <w:jc w:val="right"/>
              <w:ind w:right="763"/>
              <w:spacing w:after="0"/>
              <w:rPr>
                <w:sz w:val="20"/>
                <w:szCs w:val="20"/>
                <w:color w:val="auto"/>
              </w:rPr>
            </w:pPr>
            <w:r>
              <w:rPr>
                <w:rFonts w:ascii="Times New Roman" w:cs="Times New Roman" w:eastAsia="Times New Roman" w:hAnsi="Times New Roman"/>
                <w:sz w:val="16"/>
                <w:szCs w:val="16"/>
                <w:color w:val="auto"/>
                <w:w w:val="99"/>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16,308</w:t>
            </w:r>
          </w:p>
        </w:tc>
        <w:tc>
          <w:tcPr>
            <w:tcW w:w="100" w:type="dxa"/>
            <w:vAlign w:val="bottom"/>
          </w:tcPr>
          <w:p>
            <w:pPr>
              <w:spacing w:after="0"/>
              <w:rPr>
                <w:sz w:val="19"/>
                <w:szCs w:val="19"/>
                <w:color w:val="auto"/>
              </w:rPr>
            </w:pPr>
          </w:p>
        </w:tc>
        <w:tc>
          <w:tcPr>
            <w:tcW w:w="36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17,276</w:t>
            </w:r>
          </w:p>
        </w:tc>
        <w:tc>
          <w:tcPr>
            <w:tcW w:w="80" w:type="dxa"/>
            <w:vAlign w:val="bottom"/>
          </w:tcPr>
          <w:p>
            <w:pPr>
              <w:spacing w:after="0"/>
              <w:rPr>
                <w:sz w:val="19"/>
                <w:szCs w:val="19"/>
                <w:color w:val="auto"/>
              </w:rPr>
            </w:pPr>
          </w:p>
        </w:tc>
        <w:tc>
          <w:tcPr>
            <w:tcW w:w="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50,594</w:t>
            </w:r>
          </w:p>
        </w:tc>
        <w:tc>
          <w:tcPr>
            <w:tcW w:w="100" w:type="dxa"/>
            <w:vAlign w:val="bottom"/>
          </w:tcPr>
          <w:p>
            <w:pPr>
              <w:spacing w:after="0"/>
              <w:rPr>
                <w:sz w:val="19"/>
                <w:szCs w:val="19"/>
                <w:color w:val="auto"/>
              </w:rPr>
            </w:pPr>
          </w:p>
        </w:tc>
        <w:tc>
          <w:tcPr>
            <w:tcW w:w="36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65,397</w:t>
            </w:r>
          </w:p>
        </w:tc>
      </w:tr>
      <w:tr>
        <w:trPr>
          <w:trHeight w:val="230"/>
        </w:trPr>
        <w:tc>
          <w:tcPr>
            <w:tcW w:w="49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Variable lease revenue</w:t>
            </w:r>
          </w:p>
        </w:tc>
        <w:tc>
          <w:tcPr>
            <w:tcW w:w="94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1,877</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2,012</w:t>
            </w:r>
          </w:p>
        </w:tc>
        <w:tc>
          <w:tcPr>
            <w:tcW w:w="8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3,549</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7,980</w:t>
            </w:r>
          </w:p>
        </w:tc>
      </w:tr>
      <w:tr>
        <w:trPr>
          <w:trHeight w:val="223"/>
        </w:trPr>
        <w:tc>
          <w:tcPr>
            <w:tcW w:w="4900" w:type="dxa"/>
            <w:vAlign w:val="bottom"/>
          </w:tcPr>
          <w:p>
            <w:pPr>
              <w:spacing w:after="0"/>
              <w:rPr>
                <w:sz w:val="19"/>
                <w:szCs w:val="19"/>
                <w:color w:val="auto"/>
              </w:rPr>
            </w:pPr>
          </w:p>
        </w:tc>
        <w:tc>
          <w:tcPr>
            <w:tcW w:w="940" w:type="dxa"/>
            <w:vAlign w:val="bottom"/>
          </w:tcPr>
          <w:p>
            <w:pPr>
              <w:jc w:val="right"/>
              <w:ind w:right="763"/>
              <w:spacing w:after="0"/>
              <w:rPr>
                <w:sz w:val="20"/>
                <w:szCs w:val="20"/>
                <w:color w:val="auto"/>
              </w:rPr>
            </w:pPr>
            <w:r>
              <w:rPr>
                <w:rFonts w:ascii="Times New Roman" w:cs="Times New Roman" w:eastAsia="Times New Roman" w:hAnsi="Times New Roman"/>
                <w:sz w:val="16"/>
                <w:szCs w:val="16"/>
                <w:color w:val="auto"/>
                <w:w w:val="99"/>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18,185</w:t>
            </w:r>
          </w:p>
        </w:tc>
        <w:tc>
          <w:tcPr>
            <w:tcW w:w="100" w:type="dxa"/>
            <w:vAlign w:val="bottom"/>
          </w:tcPr>
          <w:p>
            <w:pPr>
              <w:spacing w:after="0"/>
              <w:rPr>
                <w:sz w:val="19"/>
                <w:szCs w:val="19"/>
                <w:color w:val="auto"/>
              </w:rPr>
            </w:pPr>
          </w:p>
        </w:tc>
        <w:tc>
          <w:tcPr>
            <w:tcW w:w="36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19,288</w:t>
            </w:r>
          </w:p>
        </w:tc>
        <w:tc>
          <w:tcPr>
            <w:tcW w:w="80" w:type="dxa"/>
            <w:vAlign w:val="bottom"/>
          </w:tcPr>
          <w:p>
            <w:pPr>
              <w:spacing w:after="0"/>
              <w:rPr>
                <w:sz w:val="19"/>
                <w:szCs w:val="19"/>
                <w:color w:val="auto"/>
              </w:rPr>
            </w:pPr>
          </w:p>
        </w:tc>
        <w:tc>
          <w:tcPr>
            <w:tcW w:w="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54,143</w:t>
            </w:r>
          </w:p>
        </w:tc>
        <w:tc>
          <w:tcPr>
            <w:tcW w:w="100" w:type="dxa"/>
            <w:vAlign w:val="bottom"/>
          </w:tcPr>
          <w:p>
            <w:pPr>
              <w:spacing w:after="0"/>
              <w:rPr>
                <w:sz w:val="19"/>
                <w:szCs w:val="19"/>
                <w:color w:val="auto"/>
              </w:rPr>
            </w:pPr>
          </w:p>
        </w:tc>
        <w:tc>
          <w:tcPr>
            <w:tcW w:w="36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73,377</w:t>
            </w:r>
          </w:p>
        </w:tc>
      </w:tr>
      <w:tr>
        <w:trPr>
          <w:trHeight w:val="230"/>
        </w:trPr>
        <w:tc>
          <w:tcPr>
            <w:tcW w:w="4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Hotel operating income</w:t>
            </w:r>
          </w:p>
        </w:tc>
        <w:tc>
          <w:tcPr>
            <w:tcW w:w="94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12,657</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13,428</w:t>
            </w:r>
          </w:p>
        </w:tc>
        <w:tc>
          <w:tcPr>
            <w:tcW w:w="8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39,777</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21,926</w:t>
            </w:r>
          </w:p>
        </w:tc>
      </w:tr>
      <w:tr>
        <w:trPr>
          <w:trHeight w:val="226"/>
        </w:trPr>
        <w:tc>
          <w:tcPr>
            <w:tcW w:w="4900" w:type="dxa"/>
            <w:vAlign w:val="bottom"/>
          </w:tcPr>
          <w:p>
            <w:pPr>
              <w:ind w:left="20"/>
              <w:spacing w:after="0" w:line="226" w:lineRule="exact"/>
              <w:rPr>
                <w:sz w:val="20"/>
                <w:szCs w:val="20"/>
                <w:color w:val="auto"/>
              </w:rPr>
            </w:pPr>
            <w:r>
              <w:rPr>
                <w:rFonts w:ascii="Times New Roman" w:cs="Times New Roman" w:eastAsia="Times New Roman" w:hAnsi="Times New Roman"/>
                <w:sz w:val="16"/>
                <w:szCs w:val="16"/>
                <w:color w:val="auto"/>
              </w:rPr>
              <w:t>Total property operating income</w:t>
            </w:r>
            <w:r>
              <w:rPr>
                <w:rFonts w:ascii="Times New Roman" w:cs="Times New Roman" w:eastAsia="Times New Roman" w:hAnsi="Times New Roman"/>
                <w:sz w:val="21"/>
                <w:szCs w:val="21"/>
                <w:color w:val="auto"/>
                <w:vertAlign w:val="superscript"/>
              </w:rPr>
              <w:t>(1)</w:t>
            </w:r>
          </w:p>
        </w:tc>
        <w:tc>
          <w:tcPr>
            <w:tcW w:w="940" w:type="dxa"/>
            <w:vAlign w:val="bottom"/>
            <w:tcBorders>
              <w:bottom w:val="single" w:sz="8" w:color="auto"/>
            </w:tcBorders>
          </w:tcPr>
          <w:p>
            <w:pPr>
              <w:jc w:val="right"/>
              <w:ind w:right="763"/>
              <w:spacing w:after="0"/>
              <w:rPr>
                <w:sz w:val="20"/>
                <w:szCs w:val="20"/>
                <w:color w:val="auto"/>
              </w:rPr>
            </w:pPr>
            <w:r>
              <w:rPr>
                <w:rFonts w:ascii="Times New Roman" w:cs="Times New Roman" w:eastAsia="Times New Roman" w:hAnsi="Times New Roman"/>
                <w:sz w:val="16"/>
                <w:szCs w:val="16"/>
                <w:color w:val="auto"/>
                <w:w w:val="99"/>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30,842</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32,716</w:t>
            </w:r>
          </w:p>
        </w:tc>
        <w:tc>
          <w:tcPr>
            <w:tcW w:w="80" w:type="dxa"/>
            <w:vAlign w:val="bottom"/>
          </w:tcPr>
          <w:p>
            <w:pPr>
              <w:spacing w:after="0"/>
              <w:rPr>
                <w:sz w:val="19"/>
                <w:szCs w:val="19"/>
                <w:color w:val="auto"/>
              </w:rPr>
            </w:pPr>
          </w:p>
        </w:tc>
        <w:tc>
          <w:tcPr>
            <w:tcW w:w="30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93,920</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95,303</w:t>
            </w:r>
          </w:p>
        </w:tc>
      </w:tr>
      <w:tr>
        <w:trPr>
          <w:trHeight w:val="20"/>
        </w:trPr>
        <w:tc>
          <w:tcPr>
            <w:tcW w:w="49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_________________________________________</w:t>
      </w: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BRIGHTSPIRE CAPITAL,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337" w:lineRule="exact"/>
        <w:rPr>
          <w:sz w:val="20"/>
          <w:szCs w:val="20"/>
          <w:color w:val="auto"/>
        </w:rPr>
      </w:pPr>
    </w:p>
    <w:p>
      <w:pPr>
        <w:jc w:val="both"/>
        <w:ind w:left="340" w:hanging="332"/>
        <w:spacing w:after="0" w:line="281" w:lineRule="auto"/>
        <w:tabs>
          <w:tab w:leader="none" w:pos="332"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Excludes de minimis net amortization expense for the three months ended September 30, 2026 and de minimis income for the nine months ended September 30, 2026 related to above and below-market leases. Excludes net amortization expense related to above and below-market leases of $0.2 million and $0.2 million for the three and nine months ended September 30, 2025, respectively.</w:t>
      </w:r>
    </w:p>
    <w:p>
      <w:pPr>
        <w:spacing w:after="0" w:line="10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the nine months ended September 30, 2026, the Company had one property with property operating income equal to or greater than 10% of the Company’s total revenue. The property had property operating income of $39.8 million or 16% of the Company’s total revenue. For the nine months ended September 30, 2025, the Company had no single property with property operating income equal to or greater than 10% of total revenue of the Company.</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Real Estate Acquisitions</w:t>
      </w:r>
    </w:p>
    <w:p>
      <w:pPr>
        <w:spacing w:after="0" w:line="14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During the nine months ended September 30, 2026, the Company acquired legal title to one multifamily property through foreclosure, which is included in real estate, net on the Company’s consolidated balance sheets.</w:t>
      </w:r>
    </w:p>
    <w:p>
      <w:pPr>
        <w:spacing w:after="0" w:line="9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the year ended December 31, 2025, the Company acquired legal title to one multifamily construction/development project and one office property through deeds-in-lieu of foreclosure, and one hotel property via foreclosure, all of which are included in real estate, net on the Company’s consolidated balance sheets. The office property was subsequently sold. Refer to “Real Estate Sales” below for further detail on the gain on sale.</w:t>
      </w:r>
    </w:p>
    <w:p>
      <w:pPr>
        <w:spacing w:after="0" w:line="10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previously held an investment in a senior loan collateralized by a multifamily property in Mesa, Arizona that was determined to be a VIE. The Company was determined to be the primary beneficiary of the VIE and consolidated the assets and liabilities as well as the operations of the multifamily property in February 2025. The multifamily property was included as real estate, net on the Company’s consolidated balance sheets. During the three months ended September 30, 2026, the multifamily property was sold, resulting in the deconsolidation of the associated assets and liabilities. Refer to “Real Estate Sales” below for further details.</w:t>
      </w:r>
    </w:p>
    <w:p>
      <w:pPr>
        <w:spacing w:after="0" w:line="10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accordance with ASC 805-50, the Company allocated the fair value of the assumed assets and liabilities on the respective acquisition dates for each property acquired.</w:t>
      </w:r>
    </w:p>
    <w:p>
      <w:pPr>
        <w:spacing w:after="0" w:line="94"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8"/>
          <w:szCs w:val="18"/>
          <w:color w:val="auto"/>
        </w:rPr>
        <w:t>The following table summarizes the Company’s real estate acquisitions for the nine months ended September 30, 2026 and year ended December 31, 2025 (dollars in thousands):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000" w:type="dxa"/>
            <w:vAlign w:val="bottom"/>
            <w:tcBorders>
              <w:bottom w:val="single" w:sz="8" w:color="auto"/>
            </w:tcBorders>
            <w:gridSpan w:val="5"/>
          </w:tcPr>
          <w:p>
            <w:pPr>
              <w:spacing w:after="0"/>
              <w:rPr>
                <w:sz w:val="20"/>
                <w:szCs w:val="20"/>
                <w:color w:val="auto"/>
              </w:rPr>
            </w:pPr>
            <w:r>
              <w:rPr>
                <w:rFonts w:ascii="Times New Roman" w:cs="Times New Roman" w:eastAsia="Times New Roman" w:hAnsi="Times New Roman"/>
                <w:sz w:val="18"/>
                <w:szCs w:val="18"/>
                <w:b w:val="1"/>
                <w:bCs w:val="1"/>
                <w:color w:val="auto"/>
                <w:w w:val="99"/>
              </w:rPr>
              <w:t>Purchase Price Allocation</w:t>
            </w:r>
          </w:p>
        </w:tc>
        <w:tc>
          <w:tcPr>
            <w:tcW w:w="20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20" w:type="dxa"/>
            <w:vAlign w:val="bottom"/>
            <w:vMerge w:val="restart"/>
          </w:tcPr>
          <w:p>
            <w:pPr>
              <w:ind w:left="100"/>
              <w:spacing w:after="0"/>
              <w:rPr>
                <w:sz w:val="20"/>
                <w:szCs w:val="20"/>
                <w:color w:val="auto"/>
              </w:rPr>
            </w:pPr>
            <w:r>
              <w:rPr>
                <w:rFonts w:ascii="Times New Roman" w:cs="Times New Roman" w:eastAsia="Times New Roman" w:hAnsi="Times New Roman"/>
                <w:sz w:val="13"/>
                <w:szCs w:val="13"/>
                <w:b w:val="1"/>
                <w:bCs w:val="1"/>
                <w:color w:val="auto"/>
              </w:rPr>
              <w:t>Acquisition</w:t>
            </w:r>
          </w:p>
        </w:tc>
        <w:tc>
          <w:tcPr>
            <w:tcW w:w="1140" w:type="dxa"/>
            <w:vAlign w:val="bottom"/>
            <w:gridSpan w:val="2"/>
            <w:vMerge w:val="restart"/>
          </w:tcPr>
          <w:p>
            <w:pPr>
              <w:ind w:left="80"/>
              <w:spacing w:after="0"/>
              <w:rPr>
                <w:sz w:val="20"/>
                <w:szCs w:val="20"/>
                <w:color w:val="auto"/>
              </w:rPr>
            </w:pPr>
            <w:r>
              <w:rPr>
                <w:rFonts w:ascii="Times New Roman" w:cs="Times New Roman" w:eastAsia="Times New Roman" w:hAnsi="Times New Roman"/>
                <w:sz w:val="13"/>
                <w:szCs w:val="13"/>
                <w:b w:val="1"/>
                <w:bCs w:val="1"/>
                <w:color w:val="auto"/>
                <w:w w:val="98"/>
              </w:rPr>
              <w:t>Property Type and</w:t>
            </w:r>
          </w:p>
        </w:tc>
        <w:tc>
          <w:tcPr>
            <w:tcW w:w="1100" w:type="dxa"/>
            <w:vAlign w:val="bottom"/>
            <w:gridSpan w:val="3"/>
            <w:vMerge w:val="restart"/>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w w:val="96"/>
              </w:rPr>
              <w:t>Number of</w:t>
            </w:r>
          </w:p>
        </w:tc>
        <w:tc>
          <w:tcPr>
            <w:tcW w:w="120" w:type="dxa"/>
            <w:vAlign w:val="bottom"/>
          </w:tcPr>
          <w:p>
            <w:pPr>
              <w:spacing w:after="0"/>
              <w:rPr>
                <w:sz w:val="11"/>
                <w:szCs w:val="11"/>
                <w:color w:val="auto"/>
              </w:rPr>
            </w:pPr>
          </w:p>
        </w:tc>
        <w:tc>
          <w:tcPr>
            <w:tcW w:w="760" w:type="dxa"/>
            <w:vAlign w:val="bottom"/>
            <w:gridSpan w:val="2"/>
            <w:vMerge w:val="restart"/>
          </w:tcPr>
          <w:p>
            <w:pPr>
              <w:ind w:left="40"/>
              <w:spacing w:after="0"/>
              <w:rPr>
                <w:sz w:val="20"/>
                <w:szCs w:val="20"/>
                <w:color w:val="auto"/>
              </w:rPr>
            </w:pPr>
            <w:r>
              <w:rPr>
                <w:rFonts w:ascii="Times New Roman" w:cs="Times New Roman" w:eastAsia="Times New Roman" w:hAnsi="Times New Roman"/>
                <w:sz w:val="13"/>
                <w:szCs w:val="13"/>
                <w:b w:val="1"/>
                <w:bCs w:val="1"/>
                <w:color w:val="auto"/>
              </w:rPr>
              <w:t>Purchase</w:t>
            </w:r>
          </w:p>
        </w:tc>
        <w:tc>
          <w:tcPr>
            <w:tcW w:w="120" w:type="dxa"/>
            <w:vAlign w:val="bottom"/>
          </w:tcPr>
          <w:p>
            <w:pPr>
              <w:spacing w:after="0"/>
              <w:rPr>
                <w:sz w:val="11"/>
                <w:szCs w:val="11"/>
                <w:color w:val="auto"/>
              </w:rPr>
            </w:pPr>
          </w:p>
        </w:tc>
        <w:tc>
          <w:tcPr>
            <w:tcW w:w="1140" w:type="dxa"/>
            <w:vAlign w:val="bottom"/>
            <w:gridSpan w:val="2"/>
            <w:vMerge w:val="restart"/>
          </w:tcPr>
          <w:p>
            <w:pPr>
              <w:ind w:left="200"/>
              <w:spacing w:after="0"/>
              <w:rPr>
                <w:sz w:val="20"/>
                <w:szCs w:val="20"/>
                <w:color w:val="auto"/>
              </w:rPr>
            </w:pPr>
            <w:r>
              <w:rPr>
                <w:rFonts w:ascii="Times New Roman" w:cs="Times New Roman" w:eastAsia="Times New Roman" w:hAnsi="Times New Roman"/>
                <w:sz w:val="13"/>
                <w:szCs w:val="13"/>
                <w:b w:val="1"/>
                <w:bCs w:val="1"/>
                <w:color w:val="auto"/>
              </w:rPr>
              <w:t>Land and</w:t>
            </w:r>
          </w:p>
        </w:tc>
        <w:tc>
          <w:tcPr>
            <w:tcW w:w="120" w:type="dxa"/>
            <w:vAlign w:val="bottom"/>
          </w:tcPr>
          <w:p>
            <w:pPr>
              <w:spacing w:after="0"/>
              <w:rPr>
                <w:sz w:val="11"/>
                <w:szCs w:val="11"/>
                <w:color w:val="auto"/>
              </w:rPr>
            </w:pPr>
          </w:p>
        </w:tc>
        <w:tc>
          <w:tcPr>
            <w:tcW w:w="1160" w:type="dxa"/>
            <w:vAlign w:val="bottom"/>
            <w:gridSpan w:val="2"/>
            <w:vMerge w:val="restart"/>
          </w:tcPr>
          <w:p>
            <w:pPr>
              <w:ind w:left="120"/>
              <w:spacing w:after="0"/>
              <w:rPr>
                <w:sz w:val="20"/>
                <w:szCs w:val="20"/>
                <w:color w:val="auto"/>
              </w:rPr>
            </w:pPr>
            <w:r>
              <w:rPr>
                <w:rFonts w:ascii="Times New Roman" w:cs="Times New Roman" w:eastAsia="Times New Roman" w:hAnsi="Times New Roman"/>
                <w:sz w:val="13"/>
                <w:szCs w:val="13"/>
                <w:b w:val="1"/>
                <w:bCs w:val="1"/>
                <w:color w:val="auto"/>
              </w:rPr>
              <w:t>Building and</w:t>
            </w:r>
          </w:p>
        </w:tc>
        <w:tc>
          <w:tcPr>
            <w:tcW w:w="100" w:type="dxa"/>
            <w:vAlign w:val="bottom"/>
          </w:tcPr>
          <w:p>
            <w:pPr>
              <w:spacing w:after="0"/>
              <w:rPr>
                <w:sz w:val="11"/>
                <w:szCs w:val="11"/>
                <w:color w:val="auto"/>
              </w:rPr>
            </w:pPr>
          </w:p>
        </w:tc>
        <w:tc>
          <w:tcPr>
            <w:tcW w:w="980" w:type="dxa"/>
            <w:vAlign w:val="bottom"/>
            <w:gridSpan w:val="2"/>
            <w:vMerge w:val="restart"/>
          </w:tcPr>
          <w:p>
            <w:pPr>
              <w:ind w:left="20"/>
              <w:spacing w:after="0"/>
              <w:rPr>
                <w:sz w:val="20"/>
                <w:szCs w:val="20"/>
                <w:color w:val="auto"/>
              </w:rPr>
            </w:pPr>
            <w:r>
              <w:rPr>
                <w:rFonts w:ascii="Times New Roman" w:cs="Times New Roman" w:eastAsia="Times New Roman" w:hAnsi="Times New Roman"/>
                <w:sz w:val="13"/>
                <w:szCs w:val="13"/>
                <w:b w:val="1"/>
                <w:bCs w:val="1"/>
                <w:color w:val="auto"/>
              </w:rPr>
              <w:t>Furniture and</w:t>
            </w:r>
          </w:p>
        </w:tc>
        <w:tc>
          <w:tcPr>
            <w:tcW w:w="140" w:type="dxa"/>
            <w:vAlign w:val="bottom"/>
          </w:tcPr>
          <w:p>
            <w:pPr>
              <w:spacing w:after="0"/>
              <w:rPr>
                <w:sz w:val="11"/>
                <w:szCs w:val="11"/>
                <w:color w:val="auto"/>
              </w:rPr>
            </w:pPr>
          </w:p>
        </w:tc>
        <w:tc>
          <w:tcPr>
            <w:tcW w:w="880" w:type="dxa"/>
            <w:vAlign w:val="bottom"/>
            <w:gridSpan w:val="2"/>
          </w:tcPr>
          <w:p>
            <w:pPr>
              <w:jc w:val="center"/>
              <w:ind w:right="240"/>
              <w:spacing w:after="0" w:line="129" w:lineRule="exact"/>
              <w:rPr>
                <w:sz w:val="20"/>
                <w:szCs w:val="20"/>
                <w:color w:val="auto"/>
              </w:rPr>
            </w:pPr>
            <w:r>
              <w:rPr>
                <w:rFonts w:ascii="Times New Roman" w:cs="Times New Roman" w:eastAsia="Times New Roman" w:hAnsi="Times New Roman"/>
                <w:sz w:val="13"/>
                <w:szCs w:val="13"/>
                <w:b w:val="1"/>
                <w:bCs w:val="1"/>
                <w:color w:val="auto"/>
              </w:rPr>
              <w:t>Lease</w:t>
            </w: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gridSpan w:val="2"/>
          </w:tcPr>
          <w:p>
            <w:pPr>
              <w:jc w:val="center"/>
              <w:ind w:right="200"/>
              <w:spacing w:after="0" w:line="129" w:lineRule="exact"/>
              <w:rPr>
                <w:sz w:val="20"/>
                <w:szCs w:val="20"/>
                <w:color w:val="auto"/>
              </w:rPr>
            </w:pPr>
            <w:r>
              <w:rPr>
                <w:rFonts w:ascii="Times New Roman" w:cs="Times New Roman" w:eastAsia="Times New Roman" w:hAnsi="Times New Roman"/>
                <w:sz w:val="13"/>
                <w:szCs w:val="13"/>
                <w:b w:val="1"/>
                <w:bCs w:val="1"/>
                <w:color w:val="auto"/>
              </w:rPr>
              <w:t>Lease</w:t>
            </w:r>
          </w:p>
        </w:tc>
        <w:tc>
          <w:tcPr>
            <w:tcW w:w="120" w:type="dxa"/>
            <w:vAlign w:val="bottom"/>
          </w:tcPr>
          <w:p>
            <w:pPr>
              <w:spacing w:after="0"/>
              <w:rPr>
                <w:sz w:val="11"/>
                <w:szCs w:val="11"/>
                <w:color w:val="auto"/>
              </w:rPr>
            </w:pPr>
          </w:p>
        </w:tc>
        <w:tc>
          <w:tcPr>
            <w:tcW w:w="680" w:type="dxa"/>
            <w:vAlign w:val="bottom"/>
            <w:vMerge w:val="restart"/>
          </w:tcPr>
          <w:p>
            <w:pPr>
              <w:jc w:val="right"/>
              <w:ind w:right="170"/>
              <w:spacing w:after="0"/>
              <w:rPr>
                <w:sz w:val="20"/>
                <w:szCs w:val="20"/>
                <w:color w:val="auto"/>
              </w:rPr>
            </w:pPr>
            <w:r>
              <w:rPr>
                <w:rFonts w:ascii="Times New Roman" w:cs="Times New Roman" w:eastAsia="Times New Roman" w:hAnsi="Times New Roman"/>
                <w:sz w:val="13"/>
                <w:szCs w:val="13"/>
                <w:b w:val="1"/>
                <w:bCs w:val="1"/>
                <w:color w:val="auto"/>
              </w:rPr>
              <w:t>Other</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820" w:type="dxa"/>
            <w:vAlign w:val="bottom"/>
            <w:vMerge w:val="continue"/>
          </w:tcPr>
          <w:p>
            <w:pPr>
              <w:spacing w:after="0"/>
              <w:rPr>
                <w:sz w:val="10"/>
                <w:szCs w:val="10"/>
                <w:color w:val="auto"/>
              </w:rPr>
            </w:pPr>
          </w:p>
        </w:tc>
        <w:tc>
          <w:tcPr>
            <w:tcW w:w="1140" w:type="dxa"/>
            <w:vAlign w:val="bottom"/>
            <w:gridSpan w:val="2"/>
            <w:vMerge w:val="continue"/>
          </w:tcPr>
          <w:p>
            <w:pPr>
              <w:spacing w:after="0"/>
              <w:rPr>
                <w:sz w:val="10"/>
                <w:szCs w:val="10"/>
                <w:color w:val="auto"/>
              </w:rPr>
            </w:pPr>
          </w:p>
        </w:tc>
        <w:tc>
          <w:tcPr>
            <w:tcW w:w="1100" w:type="dxa"/>
            <w:vAlign w:val="bottom"/>
            <w:gridSpan w:val="3"/>
            <w:vMerge w:val="continue"/>
          </w:tcPr>
          <w:p>
            <w:pPr>
              <w:spacing w:after="0"/>
              <w:rPr>
                <w:sz w:val="10"/>
                <w:szCs w:val="10"/>
                <w:color w:val="auto"/>
              </w:rPr>
            </w:pPr>
          </w:p>
        </w:tc>
        <w:tc>
          <w:tcPr>
            <w:tcW w:w="120" w:type="dxa"/>
            <w:vAlign w:val="bottom"/>
          </w:tcPr>
          <w:p>
            <w:pPr>
              <w:spacing w:after="0"/>
              <w:rPr>
                <w:sz w:val="10"/>
                <w:szCs w:val="10"/>
                <w:color w:val="auto"/>
              </w:rPr>
            </w:pPr>
          </w:p>
        </w:tc>
        <w:tc>
          <w:tcPr>
            <w:tcW w:w="760" w:type="dxa"/>
            <w:vAlign w:val="bottom"/>
            <w:gridSpan w:val="2"/>
            <w:vMerge w:val="continue"/>
          </w:tcPr>
          <w:p>
            <w:pPr>
              <w:spacing w:after="0"/>
              <w:rPr>
                <w:sz w:val="10"/>
                <w:szCs w:val="10"/>
                <w:color w:val="auto"/>
              </w:rPr>
            </w:pPr>
          </w:p>
        </w:tc>
        <w:tc>
          <w:tcPr>
            <w:tcW w:w="120" w:type="dxa"/>
            <w:vAlign w:val="bottom"/>
          </w:tcPr>
          <w:p>
            <w:pPr>
              <w:spacing w:after="0"/>
              <w:rPr>
                <w:sz w:val="10"/>
                <w:szCs w:val="10"/>
                <w:color w:val="auto"/>
              </w:rPr>
            </w:pPr>
          </w:p>
        </w:tc>
        <w:tc>
          <w:tcPr>
            <w:tcW w:w="1140" w:type="dxa"/>
            <w:vAlign w:val="bottom"/>
            <w:gridSpan w:val="2"/>
            <w:vMerge w:val="continue"/>
          </w:tcPr>
          <w:p>
            <w:pPr>
              <w:spacing w:after="0"/>
              <w:rPr>
                <w:sz w:val="10"/>
                <w:szCs w:val="10"/>
                <w:color w:val="auto"/>
              </w:rPr>
            </w:pPr>
          </w:p>
        </w:tc>
        <w:tc>
          <w:tcPr>
            <w:tcW w:w="120" w:type="dxa"/>
            <w:vAlign w:val="bottom"/>
          </w:tcPr>
          <w:p>
            <w:pPr>
              <w:spacing w:after="0"/>
              <w:rPr>
                <w:sz w:val="10"/>
                <w:szCs w:val="10"/>
                <w:color w:val="auto"/>
              </w:rPr>
            </w:pPr>
          </w:p>
        </w:tc>
        <w:tc>
          <w:tcPr>
            <w:tcW w:w="116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980" w:type="dxa"/>
            <w:vAlign w:val="bottom"/>
            <w:gridSpan w:val="2"/>
            <w:vMerge w:val="continue"/>
          </w:tcPr>
          <w:p>
            <w:pPr>
              <w:spacing w:after="0"/>
              <w:rPr>
                <w:sz w:val="10"/>
                <w:szCs w:val="10"/>
                <w:color w:val="auto"/>
              </w:rPr>
            </w:pPr>
          </w:p>
        </w:tc>
        <w:tc>
          <w:tcPr>
            <w:tcW w:w="140" w:type="dxa"/>
            <w:vAlign w:val="bottom"/>
          </w:tcPr>
          <w:p>
            <w:pPr>
              <w:spacing w:after="0"/>
              <w:rPr>
                <w:sz w:val="10"/>
                <w:szCs w:val="10"/>
                <w:color w:val="auto"/>
              </w:rPr>
            </w:pPr>
          </w:p>
        </w:tc>
        <w:tc>
          <w:tcPr>
            <w:tcW w:w="880" w:type="dxa"/>
            <w:vAlign w:val="bottom"/>
            <w:gridSpan w:val="2"/>
          </w:tcPr>
          <w:p>
            <w:pPr>
              <w:jc w:val="center"/>
              <w:ind w:right="240"/>
              <w:spacing w:after="0" w:line="122" w:lineRule="exact"/>
              <w:rPr>
                <w:sz w:val="20"/>
                <w:szCs w:val="20"/>
                <w:color w:val="auto"/>
              </w:rPr>
            </w:pPr>
            <w:r>
              <w:rPr>
                <w:rFonts w:ascii="Times New Roman" w:cs="Times New Roman" w:eastAsia="Times New Roman" w:hAnsi="Times New Roman"/>
                <w:sz w:val="13"/>
                <w:szCs w:val="13"/>
                <w:b w:val="1"/>
                <w:bCs w:val="1"/>
                <w:color w:val="auto"/>
                <w:w w:val="98"/>
              </w:rPr>
              <w:t>Intangible</w:t>
            </w:r>
          </w:p>
        </w:tc>
        <w:tc>
          <w:tcPr>
            <w:tcW w:w="2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80" w:type="dxa"/>
            <w:vAlign w:val="bottom"/>
            <w:gridSpan w:val="2"/>
          </w:tcPr>
          <w:p>
            <w:pPr>
              <w:jc w:val="center"/>
              <w:ind w:right="200"/>
              <w:spacing w:after="0" w:line="122" w:lineRule="exact"/>
              <w:rPr>
                <w:sz w:val="20"/>
                <w:szCs w:val="20"/>
                <w:color w:val="auto"/>
              </w:rPr>
            </w:pPr>
            <w:r>
              <w:rPr>
                <w:rFonts w:ascii="Times New Roman" w:cs="Times New Roman" w:eastAsia="Times New Roman" w:hAnsi="Times New Roman"/>
                <w:sz w:val="13"/>
                <w:szCs w:val="13"/>
                <w:b w:val="1"/>
                <w:bCs w:val="1"/>
                <w:color w:val="auto"/>
                <w:w w:val="98"/>
              </w:rPr>
              <w:t>Intangible</w:t>
            </w:r>
          </w:p>
        </w:tc>
        <w:tc>
          <w:tcPr>
            <w:tcW w:w="120" w:type="dxa"/>
            <w:vAlign w:val="bottom"/>
          </w:tcPr>
          <w:p>
            <w:pPr>
              <w:spacing w:after="0"/>
              <w:rPr>
                <w:sz w:val="10"/>
                <w:szCs w:val="10"/>
                <w:color w:val="auto"/>
              </w:rPr>
            </w:pPr>
          </w:p>
        </w:tc>
        <w:tc>
          <w:tcPr>
            <w:tcW w:w="6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89"/>
        </w:trPr>
        <w:tc>
          <w:tcPr>
            <w:tcW w:w="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ind w:left="280"/>
              <w:spacing w:after="0"/>
              <w:rPr>
                <w:sz w:val="20"/>
                <w:szCs w:val="20"/>
                <w:color w:val="auto"/>
              </w:rPr>
            </w:pPr>
            <w:r>
              <w:rPr>
                <w:rFonts w:ascii="Times New Roman" w:cs="Times New Roman" w:eastAsia="Times New Roman" w:hAnsi="Times New Roman"/>
                <w:sz w:val="13"/>
                <w:szCs w:val="13"/>
                <w:b w:val="1"/>
                <w:bCs w:val="1"/>
                <w:color w:val="auto"/>
              </w:rPr>
              <w:t>Date</w:t>
            </w:r>
          </w:p>
        </w:tc>
        <w:tc>
          <w:tcPr>
            <w:tcW w:w="1140" w:type="dxa"/>
            <w:vAlign w:val="bottom"/>
            <w:tcBorders>
              <w:bottom w:val="single" w:sz="8" w:color="auto"/>
            </w:tcBorders>
            <w:gridSpan w:val="2"/>
          </w:tcPr>
          <w:p>
            <w:pPr>
              <w:ind w:left="340"/>
              <w:spacing w:after="0"/>
              <w:rPr>
                <w:sz w:val="20"/>
                <w:szCs w:val="20"/>
                <w:color w:val="auto"/>
              </w:rPr>
            </w:pPr>
            <w:r>
              <w:rPr>
                <w:rFonts w:ascii="Times New Roman" w:cs="Times New Roman" w:eastAsia="Times New Roman" w:hAnsi="Times New Roman"/>
                <w:sz w:val="13"/>
                <w:szCs w:val="13"/>
                <w:b w:val="1"/>
                <w:bCs w:val="1"/>
                <w:color w:val="auto"/>
              </w:rPr>
              <w:t>Location</w:t>
            </w:r>
          </w:p>
        </w:tc>
        <w:tc>
          <w:tcPr>
            <w:tcW w:w="1020" w:type="dxa"/>
            <w:vAlign w:val="bottom"/>
            <w:tcBorders>
              <w:bottom w:val="single" w:sz="8" w:color="auto"/>
            </w:tcBorders>
            <w:gridSpan w:val="2"/>
          </w:tcPr>
          <w:p>
            <w:pPr>
              <w:jc w:val="center"/>
              <w:ind w:right="20"/>
              <w:spacing w:after="0"/>
              <w:rPr>
                <w:sz w:val="20"/>
                <w:szCs w:val="20"/>
                <w:color w:val="auto"/>
              </w:rPr>
            </w:pPr>
            <w:r>
              <w:rPr>
                <w:rFonts w:ascii="Times New Roman" w:cs="Times New Roman" w:eastAsia="Times New Roman" w:hAnsi="Times New Roman"/>
                <w:sz w:val="13"/>
                <w:szCs w:val="13"/>
                <w:b w:val="1"/>
                <w:bCs w:val="1"/>
                <w:color w:val="auto"/>
                <w:w w:val="93"/>
              </w:rPr>
              <w:t>Buildings/Units</w:t>
            </w:r>
            <w:r>
              <w:rPr>
                <w:rFonts w:ascii="Times New Roman" w:cs="Times New Roman" w:eastAsia="Times New Roman" w:hAnsi="Times New Roman"/>
                <w:sz w:val="16"/>
                <w:szCs w:val="16"/>
                <w:b w:val="1"/>
                <w:bCs w:val="1"/>
                <w:color w:val="auto"/>
                <w:w w:val="93"/>
                <w:vertAlign w:val="superscript"/>
              </w:rPr>
              <w:t>(1)</w:t>
            </w:r>
          </w:p>
        </w:tc>
        <w:tc>
          <w:tcPr>
            <w:tcW w:w="8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3"/>
                <w:szCs w:val="13"/>
                <w:b w:val="1"/>
                <w:bCs w:val="1"/>
                <w:color w:val="auto"/>
              </w:rPr>
              <w:t>Price</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3"/>
                <w:szCs w:val="13"/>
                <w:b w:val="1"/>
                <w:bCs w:val="1"/>
                <w:color w:val="auto"/>
                <w:w w:val="94"/>
              </w:rPr>
              <w:t>Improvements</w:t>
            </w:r>
            <w:r>
              <w:rPr>
                <w:rFonts w:ascii="Times New Roman" w:cs="Times New Roman" w:eastAsia="Times New Roman" w:hAnsi="Times New Roman"/>
                <w:sz w:val="16"/>
                <w:szCs w:val="16"/>
                <w:b w:val="1"/>
                <w:bCs w:val="1"/>
                <w:color w:val="auto"/>
                <w:w w:val="94"/>
                <w:vertAlign w:val="superscript"/>
              </w:rPr>
              <w:t>(2)</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3"/>
                <w:szCs w:val="13"/>
                <w:b w:val="1"/>
                <w:bCs w:val="1"/>
                <w:color w:val="auto"/>
                <w:w w:val="96"/>
              </w:rPr>
              <w:t>Improvements</w:t>
            </w:r>
            <w:r>
              <w:rPr>
                <w:rFonts w:ascii="Times New Roman" w:cs="Times New Roman" w:eastAsia="Times New Roman" w:hAnsi="Times New Roman"/>
                <w:sz w:val="16"/>
                <w:szCs w:val="16"/>
                <w:b w:val="1"/>
                <w:bCs w:val="1"/>
                <w:color w:val="auto"/>
                <w:w w:val="96"/>
                <w:vertAlign w:val="superscript"/>
              </w:rPr>
              <w:t>(2)</w:t>
            </w:r>
          </w:p>
        </w:tc>
        <w:tc>
          <w:tcPr>
            <w:tcW w:w="10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148"/>
              <w:spacing w:after="0"/>
              <w:rPr>
                <w:sz w:val="20"/>
                <w:szCs w:val="20"/>
                <w:color w:val="auto"/>
              </w:rPr>
            </w:pPr>
            <w:r>
              <w:rPr>
                <w:rFonts w:ascii="Times New Roman" w:cs="Times New Roman" w:eastAsia="Times New Roman" w:hAnsi="Times New Roman"/>
                <w:sz w:val="13"/>
                <w:szCs w:val="13"/>
                <w:b w:val="1"/>
                <w:bCs w:val="1"/>
                <w:color w:val="auto"/>
              </w:rPr>
              <w:t>Fixtures</w:t>
            </w:r>
            <w:r>
              <w:rPr>
                <w:rFonts w:ascii="Times New Roman" w:cs="Times New Roman" w:eastAsia="Times New Roman" w:hAnsi="Times New Roman"/>
                <w:sz w:val="16"/>
                <w:szCs w:val="16"/>
                <w:b w:val="1"/>
                <w:bCs w:val="1"/>
                <w:color w:val="auto"/>
                <w:vertAlign w:val="superscript"/>
              </w:rPr>
              <w:t>(2)</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center"/>
              <w:ind w:right="71"/>
              <w:spacing w:after="0"/>
              <w:rPr>
                <w:sz w:val="20"/>
                <w:szCs w:val="20"/>
                <w:color w:val="auto"/>
              </w:rPr>
            </w:pPr>
            <w:r>
              <w:rPr>
                <w:rFonts w:ascii="Times New Roman" w:cs="Times New Roman" w:eastAsia="Times New Roman" w:hAnsi="Times New Roman"/>
                <w:sz w:val="13"/>
                <w:szCs w:val="13"/>
                <w:b w:val="1"/>
                <w:bCs w:val="1"/>
                <w:color w:val="auto"/>
                <w:w w:val="93"/>
              </w:rPr>
              <w:t>Assets</w:t>
            </w:r>
            <w:r>
              <w:rPr>
                <w:rFonts w:ascii="Times New Roman" w:cs="Times New Roman" w:eastAsia="Times New Roman" w:hAnsi="Times New Roman"/>
                <w:sz w:val="16"/>
                <w:szCs w:val="16"/>
                <w:b w:val="1"/>
                <w:bCs w:val="1"/>
                <w:color w:val="auto"/>
                <w:w w:val="93"/>
                <w:vertAlign w:val="superscript"/>
              </w:rPr>
              <w:t>(2)</w:t>
            </w:r>
          </w:p>
        </w:tc>
        <w:tc>
          <w:tcPr>
            <w:tcW w:w="100" w:type="dxa"/>
            <w:vAlign w:val="bottom"/>
            <w:tcBorders>
              <w:bottom w:val="single" w:sz="8" w:color="CCEEFF"/>
            </w:tcBorders>
          </w:tcPr>
          <w:p>
            <w:pPr>
              <w:spacing w:after="0"/>
              <w:rPr>
                <w:sz w:val="16"/>
                <w:szCs w:val="16"/>
                <w:color w:val="auto"/>
              </w:rPr>
            </w:pPr>
          </w:p>
        </w:tc>
        <w:tc>
          <w:tcPr>
            <w:tcW w:w="7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w w:val="98"/>
              </w:rPr>
              <w:t>Other Assets</w:t>
            </w:r>
          </w:p>
        </w:tc>
        <w:tc>
          <w:tcPr>
            <w:tcW w:w="10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center"/>
              <w:ind w:right="31"/>
              <w:spacing w:after="0"/>
              <w:rPr>
                <w:sz w:val="20"/>
                <w:szCs w:val="20"/>
                <w:color w:val="auto"/>
              </w:rPr>
            </w:pPr>
            <w:r>
              <w:rPr>
                <w:rFonts w:ascii="Times New Roman" w:cs="Times New Roman" w:eastAsia="Times New Roman" w:hAnsi="Times New Roman"/>
                <w:sz w:val="13"/>
                <w:szCs w:val="13"/>
                <w:b w:val="1"/>
                <w:bCs w:val="1"/>
                <w:color w:val="auto"/>
                <w:w w:val="93"/>
              </w:rPr>
              <w:t>Liabilities</w:t>
            </w:r>
            <w:r>
              <w:rPr>
                <w:rFonts w:ascii="Times New Roman" w:cs="Times New Roman" w:eastAsia="Times New Roman" w:hAnsi="Times New Roman"/>
                <w:sz w:val="16"/>
                <w:szCs w:val="16"/>
                <w:b w:val="1"/>
                <w:bCs w:val="1"/>
                <w:color w:val="auto"/>
                <w:w w:val="93"/>
                <w:vertAlign w:val="superscript"/>
              </w:rPr>
              <w:t>(2)</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3"/>
                <w:szCs w:val="13"/>
                <w:b w:val="1"/>
                <w:bCs w:val="1"/>
                <w:color w:val="auto"/>
                <w:w w:val="96"/>
              </w:rPr>
              <w:t>Liabilities</w:t>
            </w:r>
          </w:p>
        </w:tc>
        <w:tc>
          <w:tcPr>
            <w:tcW w:w="0" w:type="dxa"/>
            <w:vAlign w:val="bottom"/>
          </w:tcPr>
          <w:p>
            <w:pPr>
              <w:spacing w:after="0"/>
              <w:rPr>
                <w:sz w:val="1"/>
                <w:szCs w:val="1"/>
                <w:color w:val="auto"/>
              </w:rPr>
            </w:pPr>
          </w:p>
        </w:tc>
      </w:tr>
      <w:tr>
        <w:trPr>
          <w:trHeight w:val="189"/>
        </w:trPr>
        <w:tc>
          <w:tcPr>
            <w:tcW w:w="20" w:type="dxa"/>
            <w:vAlign w:val="bottom"/>
            <w:tcBorders>
              <w:bottom w:val="single" w:sz="8" w:color="CCEEFF"/>
            </w:tcBorders>
            <w:shd w:val="clear" w:color="auto" w:fill="CCEEFF"/>
          </w:tcPr>
          <w:p>
            <w:pPr>
              <w:spacing w:after="0"/>
              <w:rPr>
                <w:sz w:val="16"/>
                <w:szCs w:val="16"/>
                <w:color w:val="auto"/>
              </w:rPr>
            </w:pPr>
          </w:p>
        </w:tc>
        <w:tc>
          <w:tcPr>
            <w:tcW w:w="2480" w:type="dxa"/>
            <w:vAlign w:val="bottom"/>
            <w:tcBorders>
              <w:bottom w:val="single" w:sz="8" w:color="auto"/>
            </w:tcBorders>
            <w:gridSpan w:val="4"/>
            <w:shd w:val="clear" w:color="auto" w:fill="CCEEFF"/>
          </w:tcPr>
          <w:p>
            <w:pPr>
              <w:spacing w:after="0" w:line="155" w:lineRule="exact"/>
              <w:rPr>
                <w:sz w:val="20"/>
                <w:szCs w:val="20"/>
                <w:color w:val="auto"/>
              </w:rPr>
            </w:pPr>
            <w:r>
              <w:rPr>
                <w:rFonts w:ascii="Times New Roman" w:cs="Times New Roman" w:eastAsia="Times New Roman" w:hAnsi="Times New Roman"/>
                <w:sz w:val="14"/>
                <w:szCs w:val="14"/>
                <w:b w:val="1"/>
                <w:bCs w:val="1"/>
                <w:color w:val="auto"/>
              </w:rPr>
              <w:t>Nine Months Ended September 30, 2026</w:t>
            </w:r>
          </w:p>
        </w:tc>
        <w:tc>
          <w:tcPr>
            <w:tcW w:w="580" w:type="dxa"/>
            <w:vAlign w:val="bottom"/>
            <w:tcBorders>
              <w:bottom w:val="single" w:sz="8" w:color="CCEEFF"/>
            </w:tcBorders>
            <w:gridSpan w:val="2"/>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66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04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06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8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7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56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7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68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82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January 2026</w:t>
            </w:r>
          </w:p>
        </w:tc>
        <w:tc>
          <w:tcPr>
            <w:tcW w:w="1140" w:type="dxa"/>
            <w:vAlign w:val="bottom"/>
            <w:gridSpan w:val="2"/>
          </w:tcPr>
          <w:p>
            <w:pPr>
              <w:ind w:left="40"/>
              <w:spacing w:after="0" w:line="150" w:lineRule="exact"/>
              <w:rPr>
                <w:sz w:val="20"/>
                <w:szCs w:val="20"/>
                <w:color w:val="auto"/>
              </w:rPr>
            </w:pPr>
            <w:r>
              <w:rPr>
                <w:rFonts w:ascii="Times New Roman" w:cs="Times New Roman" w:eastAsia="Times New Roman" w:hAnsi="Times New Roman"/>
                <w:sz w:val="14"/>
                <w:szCs w:val="14"/>
                <w:color w:val="auto"/>
              </w:rPr>
              <w:t>Multifamily -</w:t>
            </w:r>
          </w:p>
        </w:tc>
        <w:tc>
          <w:tcPr>
            <w:tcW w:w="102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4"/>
                <w:szCs w:val="14"/>
                <w:color w:val="auto"/>
              </w:rPr>
              <w:t>624</w:t>
            </w:r>
          </w:p>
        </w:tc>
        <w:tc>
          <w:tcPr>
            <w:tcW w:w="80" w:type="dxa"/>
            <w:vAlign w:val="bottom"/>
          </w:tcPr>
          <w:p>
            <w:pPr>
              <w:spacing w:after="0"/>
              <w:rPr>
                <w:sz w:val="13"/>
                <w:szCs w:val="13"/>
                <w:color w:val="auto"/>
              </w:rPr>
            </w:pP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45,400</w:t>
            </w:r>
          </w:p>
        </w:tc>
        <w:tc>
          <w:tcPr>
            <w:tcW w:w="100" w:type="dxa"/>
            <w:vAlign w:val="bottom"/>
          </w:tcPr>
          <w:p>
            <w:pPr>
              <w:spacing w:after="0"/>
              <w:rPr>
                <w:sz w:val="13"/>
                <w:szCs w:val="13"/>
                <w:color w:val="auto"/>
              </w:rPr>
            </w:pP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13,486</w:t>
            </w:r>
          </w:p>
        </w:tc>
        <w:tc>
          <w:tcPr>
            <w:tcW w:w="100" w:type="dxa"/>
            <w:vAlign w:val="bottom"/>
          </w:tcPr>
          <w:p>
            <w:pPr>
              <w:spacing w:after="0"/>
              <w:rPr>
                <w:sz w:val="13"/>
                <w:szCs w:val="13"/>
                <w:color w:val="auto"/>
              </w:rPr>
            </w:pP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25,944</w:t>
            </w:r>
          </w:p>
        </w:tc>
        <w:tc>
          <w:tcPr>
            <w:tcW w:w="100" w:type="dxa"/>
            <w:vAlign w:val="bottom"/>
          </w:tcPr>
          <w:p>
            <w:pPr>
              <w:spacing w:after="0"/>
              <w:rPr>
                <w:sz w:val="13"/>
                <w:szCs w:val="13"/>
                <w:color w:val="auto"/>
              </w:rPr>
            </w:pP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1,235</w:t>
            </w:r>
          </w:p>
        </w:tc>
        <w:tc>
          <w:tcPr>
            <w:tcW w:w="100" w:type="dxa"/>
            <w:vAlign w:val="bottom"/>
          </w:tcPr>
          <w:p>
            <w:pPr>
              <w:spacing w:after="0"/>
              <w:rPr>
                <w:sz w:val="13"/>
                <w:szCs w:val="13"/>
                <w:color w:val="auto"/>
              </w:rPr>
            </w:pP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4,126</w:t>
            </w:r>
          </w:p>
        </w:tc>
        <w:tc>
          <w:tcPr>
            <w:tcW w:w="100" w:type="dxa"/>
            <w:vAlign w:val="bottom"/>
          </w:tcPr>
          <w:p>
            <w:pPr>
              <w:spacing w:after="0"/>
              <w:rPr>
                <w:sz w:val="13"/>
                <w:szCs w:val="13"/>
                <w:color w:val="auto"/>
              </w:rPr>
            </w:pPr>
          </w:p>
        </w:tc>
        <w:tc>
          <w:tcPr>
            <w:tcW w:w="200" w:type="dxa"/>
            <w:vAlign w:val="bottom"/>
            <w:vMerge w:val="restart"/>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2,876</w:t>
            </w:r>
          </w:p>
        </w:tc>
        <w:tc>
          <w:tcPr>
            <w:tcW w:w="100" w:type="dxa"/>
            <w:vAlign w:val="bottom"/>
          </w:tcPr>
          <w:p>
            <w:pPr>
              <w:spacing w:after="0"/>
              <w:rPr>
                <w:sz w:val="13"/>
                <w:szCs w:val="13"/>
                <w:color w:val="auto"/>
              </w:rPr>
            </w:pP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gridSpan w:val="2"/>
            <w:vMerge w:val="restart"/>
          </w:tcPr>
          <w:p>
            <w:pPr>
              <w:ind w:left="5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(2,267)</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820" w:type="dxa"/>
            <w:vAlign w:val="bottom"/>
            <w:vMerge w:val="continue"/>
          </w:tcPr>
          <w:p>
            <w:pPr>
              <w:spacing w:after="0"/>
              <w:rPr>
                <w:sz w:val="17"/>
                <w:szCs w:val="17"/>
                <w:color w:val="auto"/>
              </w:rPr>
            </w:pPr>
          </w:p>
        </w:tc>
        <w:tc>
          <w:tcPr>
            <w:tcW w:w="1140" w:type="dxa"/>
            <w:vAlign w:val="bottom"/>
            <w:gridSpan w:val="2"/>
          </w:tcPr>
          <w:p>
            <w:pPr>
              <w:ind w:left="40"/>
              <w:spacing w:after="0" w:line="201" w:lineRule="exact"/>
              <w:rPr>
                <w:sz w:val="20"/>
                <w:szCs w:val="20"/>
                <w:color w:val="auto"/>
              </w:rPr>
            </w:pPr>
            <w:r>
              <w:rPr>
                <w:rFonts w:ascii="Times New Roman" w:cs="Times New Roman" w:eastAsia="Times New Roman" w:hAnsi="Times New Roman"/>
                <w:sz w:val="14"/>
                <w:szCs w:val="14"/>
                <w:color w:val="auto"/>
              </w:rPr>
              <w:t>Texas</w:t>
            </w:r>
            <w:r>
              <w:rPr>
                <w:rFonts w:ascii="Times New Roman" w:cs="Times New Roman" w:eastAsia="Times New Roman" w:hAnsi="Times New Roman"/>
                <w:sz w:val="18"/>
                <w:szCs w:val="18"/>
                <w:color w:val="auto"/>
                <w:vertAlign w:val="superscript"/>
              </w:rPr>
              <w:t>(3)</w:t>
            </w:r>
          </w:p>
        </w:tc>
        <w:tc>
          <w:tcPr>
            <w:tcW w:w="1020" w:type="dxa"/>
            <w:vAlign w:val="bottom"/>
            <w:gridSpan w:val="2"/>
            <w:vMerge w:val="continue"/>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vMerge w:val="continue"/>
          </w:tcPr>
          <w:p>
            <w:pPr>
              <w:spacing w:after="0"/>
              <w:rPr>
                <w:sz w:val="17"/>
                <w:szCs w:val="17"/>
                <w:color w:val="auto"/>
              </w:rPr>
            </w:pPr>
          </w:p>
        </w:tc>
        <w:tc>
          <w:tcPr>
            <w:tcW w:w="66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vMerge w:val="continue"/>
          </w:tcPr>
          <w:p>
            <w:pPr>
              <w:spacing w:after="0"/>
              <w:rPr>
                <w:sz w:val="17"/>
                <w:szCs w:val="17"/>
                <w:color w:val="auto"/>
              </w:rPr>
            </w:pPr>
          </w:p>
        </w:tc>
        <w:tc>
          <w:tcPr>
            <w:tcW w:w="104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vMerge w:val="continue"/>
          </w:tcPr>
          <w:p>
            <w:pPr>
              <w:spacing w:after="0"/>
              <w:rPr>
                <w:sz w:val="17"/>
                <w:szCs w:val="17"/>
                <w:color w:val="auto"/>
              </w:rPr>
            </w:pPr>
          </w:p>
        </w:tc>
        <w:tc>
          <w:tcPr>
            <w:tcW w:w="106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vMerge w:val="continue"/>
          </w:tcPr>
          <w:p>
            <w:pPr>
              <w:spacing w:after="0"/>
              <w:rPr>
                <w:sz w:val="17"/>
                <w:szCs w:val="17"/>
                <w:color w:val="auto"/>
              </w:rPr>
            </w:pPr>
          </w:p>
        </w:tc>
        <w:tc>
          <w:tcPr>
            <w:tcW w:w="88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vMerge w:val="continue"/>
          </w:tcPr>
          <w:p>
            <w:pPr>
              <w:spacing w:after="0"/>
              <w:rPr>
                <w:sz w:val="17"/>
                <w:szCs w:val="17"/>
                <w:color w:val="auto"/>
              </w:rPr>
            </w:pPr>
          </w:p>
        </w:tc>
        <w:tc>
          <w:tcPr>
            <w:tcW w:w="78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vMerge w:val="continue"/>
          </w:tcPr>
          <w:p>
            <w:pPr>
              <w:spacing w:after="0"/>
              <w:rPr>
                <w:sz w:val="17"/>
                <w:szCs w:val="17"/>
                <w:color w:val="auto"/>
              </w:rPr>
            </w:pPr>
          </w:p>
        </w:tc>
        <w:tc>
          <w:tcPr>
            <w:tcW w:w="56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vMerge w:val="continue"/>
          </w:tcPr>
          <w:p>
            <w:pPr>
              <w:spacing w:after="0"/>
              <w:rPr>
                <w:sz w:val="17"/>
                <w:szCs w:val="17"/>
                <w:color w:val="auto"/>
              </w:rPr>
            </w:pPr>
          </w:p>
        </w:tc>
        <w:tc>
          <w:tcPr>
            <w:tcW w:w="880" w:type="dxa"/>
            <w:vAlign w:val="bottom"/>
            <w:gridSpan w:val="2"/>
            <w:vMerge w:val="continue"/>
          </w:tcPr>
          <w:p>
            <w:pPr>
              <w:spacing w:after="0"/>
              <w:rPr>
                <w:sz w:val="17"/>
                <w:szCs w:val="17"/>
                <w:color w:val="auto"/>
              </w:rPr>
            </w:pPr>
          </w:p>
        </w:tc>
        <w:tc>
          <w:tcPr>
            <w:tcW w:w="120" w:type="dxa"/>
            <w:vAlign w:val="bottom"/>
            <w:vMerge w:val="continue"/>
          </w:tcPr>
          <w:p>
            <w:pPr>
              <w:spacing w:after="0"/>
              <w:rPr>
                <w:sz w:val="17"/>
                <w:szCs w:val="17"/>
                <w:color w:val="auto"/>
              </w:rPr>
            </w:pPr>
          </w:p>
        </w:tc>
        <w:tc>
          <w:tcPr>
            <w:tcW w:w="6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shd w:val="clear" w:color="auto" w:fill="CCEEFF"/>
          </w:tcPr>
          <w:p>
            <w:pPr>
              <w:spacing w:after="0"/>
              <w:rPr>
                <w:sz w:val="17"/>
                <w:szCs w:val="17"/>
                <w:color w:val="auto"/>
              </w:rPr>
            </w:pPr>
          </w:p>
        </w:tc>
        <w:tc>
          <w:tcPr>
            <w:tcW w:w="19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Year Ended December 31, 2025</w:t>
            </w:r>
          </w:p>
        </w:tc>
        <w:tc>
          <w:tcPr>
            <w:tcW w:w="5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53"/>
        </w:trPr>
        <w:tc>
          <w:tcPr>
            <w:tcW w:w="20" w:type="dxa"/>
            <w:vAlign w:val="bottom"/>
            <w:tcBorders>
              <w:top w:val="single" w:sz="8" w:color="CCEEFF"/>
            </w:tcBorders>
          </w:tcPr>
          <w:p>
            <w:pPr>
              <w:spacing w:after="0"/>
              <w:rPr>
                <w:sz w:val="13"/>
                <w:szCs w:val="13"/>
                <w:color w:val="auto"/>
              </w:rPr>
            </w:pPr>
          </w:p>
        </w:tc>
        <w:tc>
          <w:tcPr>
            <w:tcW w:w="820" w:type="dxa"/>
            <w:vAlign w:val="bottom"/>
            <w:tcBorders>
              <w:top w:val="single" w:sz="8" w:color="auto"/>
            </w:tcBorders>
          </w:tcPr>
          <w:p>
            <w:pPr>
              <w:spacing w:after="0" w:line="153" w:lineRule="exact"/>
              <w:rPr>
                <w:sz w:val="20"/>
                <w:szCs w:val="20"/>
                <w:color w:val="auto"/>
              </w:rPr>
            </w:pPr>
            <w:r>
              <w:rPr>
                <w:rFonts w:ascii="Times New Roman" w:cs="Times New Roman" w:eastAsia="Times New Roman" w:hAnsi="Times New Roman"/>
                <w:sz w:val="14"/>
                <w:szCs w:val="14"/>
                <w:color w:val="auto"/>
              </w:rPr>
              <w:t>September</w:t>
            </w:r>
          </w:p>
        </w:tc>
        <w:tc>
          <w:tcPr>
            <w:tcW w:w="1100" w:type="dxa"/>
            <w:vAlign w:val="bottom"/>
            <w:tcBorders>
              <w:top w:val="single" w:sz="8" w:color="auto"/>
            </w:tcBorders>
            <w:vMerge w:val="restart"/>
          </w:tcPr>
          <w:p>
            <w:pPr>
              <w:ind w:left="40"/>
              <w:spacing w:after="0"/>
              <w:rPr>
                <w:sz w:val="20"/>
                <w:szCs w:val="20"/>
                <w:color w:val="auto"/>
              </w:rPr>
            </w:pPr>
            <w:r>
              <w:rPr>
                <w:rFonts w:ascii="Times New Roman" w:cs="Times New Roman" w:eastAsia="Times New Roman" w:hAnsi="Times New Roman"/>
                <w:sz w:val="14"/>
                <w:szCs w:val="14"/>
                <w:color w:val="auto"/>
              </w:rPr>
              <w:t>Office - Oregon</w:t>
            </w:r>
            <w:r>
              <w:rPr>
                <w:rFonts w:ascii="Times New Roman" w:cs="Times New Roman" w:eastAsia="Times New Roman" w:hAnsi="Times New Roman"/>
                <w:sz w:val="18"/>
                <w:szCs w:val="18"/>
                <w:color w:val="auto"/>
                <w:vertAlign w:val="superscript"/>
              </w:rPr>
              <w:t>(3)</w:t>
            </w:r>
          </w:p>
        </w:tc>
        <w:tc>
          <w:tcPr>
            <w:tcW w:w="40" w:type="dxa"/>
            <w:vAlign w:val="bottom"/>
            <w:tcBorders>
              <w:top w:val="single" w:sz="8" w:color="CCEEFF"/>
            </w:tcBorders>
            <w:vMerge w:val="restart"/>
          </w:tcPr>
          <w:p>
            <w:pPr>
              <w:spacing w:after="0"/>
              <w:rPr>
                <w:sz w:val="13"/>
                <w:szCs w:val="13"/>
                <w:color w:val="auto"/>
              </w:rPr>
            </w:pPr>
          </w:p>
        </w:tc>
        <w:tc>
          <w:tcPr>
            <w:tcW w:w="1020" w:type="dxa"/>
            <w:vAlign w:val="bottom"/>
            <w:tcBorders>
              <w:top w:val="single" w:sz="8" w:color="CCEEFF"/>
            </w:tcBorders>
            <w:gridSpan w:val="2"/>
            <w:vMerge w:val="restart"/>
          </w:tcPr>
          <w:p>
            <w:pPr>
              <w:jc w:val="center"/>
              <w:ind w:right="20"/>
              <w:spacing w:after="0"/>
              <w:rPr>
                <w:sz w:val="20"/>
                <w:szCs w:val="20"/>
                <w:color w:val="auto"/>
              </w:rPr>
            </w:pPr>
            <w:r>
              <w:rPr>
                <w:rFonts w:ascii="Times New Roman" w:cs="Times New Roman" w:eastAsia="Times New Roman" w:hAnsi="Times New Roman"/>
                <w:sz w:val="14"/>
                <w:szCs w:val="14"/>
                <w:color w:val="auto"/>
              </w:rPr>
              <w:t>8</w:t>
            </w:r>
          </w:p>
        </w:tc>
        <w:tc>
          <w:tcPr>
            <w:tcW w:w="80" w:type="dxa"/>
            <w:vAlign w:val="bottom"/>
            <w:tcBorders>
              <w:top w:val="single" w:sz="8" w:color="CCEEFF"/>
            </w:tcBorders>
          </w:tcPr>
          <w:p>
            <w:pPr>
              <w:spacing w:after="0"/>
              <w:rPr>
                <w:sz w:val="13"/>
                <w:szCs w:val="13"/>
                <w:color w:val="auto"/>
              </w:rPr>
            </w:pPr>
          </w:p>
        </w:tc>
        <w:tc>
          <w:tcPr>
            <w:tcW w:w="120" w:type="dxa"/>
            <w:vAlign w:val="bottom"/>
            <w:tcBorders>
              <w:top w:val="single" w:sz="8" w:color="CCEEFF"/>
            </w:tcBorders>
          </w:tcPr>
          <w:p>
            <w:pPr>
              <w:spacing w:after="0"/>
              <w:rPr>
                <w:sz w:val="13"/>
                <w:szCs w:val="13"/>
                <w:color w:val="auto"/>
              </w:rPr>
            </w:pPr>
          </w:p>
        </w:tc>
        <w:tc>
          <w:tcPr>
            <w:tcW w:w="660" w:type="dxa"/>
            <w:vAlign w:val="bottom"/>
            <w:tcBorders>
              <w:top w:val="single" w:sz="8" w:color="CCEEFF"/>
            </w:tcBorders>
            <w:vMerge w:val="restart"/>
          </w:tcPr>
          <w:p>
            <w:pPr>
              <w:jc w:val="right"/>
              <w:spacing w:after="0"/>
              <w:rPr>
                <w:sz w:val="20"/>
                <w:szCs w:val="20"/>
                <w:color w:val="auto"/>
              </w:rPr>
            </w:pPr>
            <w:r>
              <w:rPr>
                <w:rFonts w:ascii="Times New Roman" w:cs="Times New Roman" w:eastAsia="Times New Roman" w:hAnsi="Times New Roman"/>
                <w:sz w:val="14"/>
                <w:szCs w:val="14"/>
                <w:color w:val="auto"/>
              </w:rPr>
              <w:t>21,100</w:t>
            </w:r>
          </w:p>
        </w:tc>
        <w:tc>
          <w:tcPr>
            <w:tcW w:w="100" w:type="dxa"/>
            <w:vAlign w:val="bottom"/>
            <w:tcBorders>
              <w:top w:val="single" w:sz="8" w:color="CCEEFF"/>
            </w:tcBorders>
          </w:tcPr>
          <w:p>
            <w:pPr>
              <w:spacing w:after="0"/>
              <w:rPr>
                <w:sz w:val="13"/>
                <w:szCs w:val="13"/>
                <w:color w:val="auto"/>
              </w:rPr>
            </w:pPr>
          </w:p>
        </w:tc>
        <w:tc>
          <w:tcPr>
            <w:tcW w:w="120" w:type="dxa"/>
            <w:vAlign w:val="bottom"/>
            <w:tcBorders>
              <w:top w:val="single" w:sz="8" w:color="CCEEFF"/>
            </w:tcBorders>
          </w:tcPr>
          <w:p>
            <w:pPr>
              <w:spacing w:after="0"/>
              <w:rPr>
                <w:sz w:val="13"/>
                <w:szCs w:val="13"/>
                <w:color w:val="auto"/>
              </w:rPr>
            </w:pPr>
          </w:p>
        </w:tc>
        <w:tc>
          <w:tcPr>
            <w:tcW w:w="1040" w:type="dxa"/>
            <w:vAlign w:val="bottom"/>
            <w:tcBorders>
              <w:top w:val="single" w:sz="8" w:color="CCEEFF"/>
            </w:tcBorders>
            <w:vMerge w:val="restart"/>
          </w:tcPr>
          <w:p>
            <w:pPr>
              <w:jc w:val="right"/>
              <w:spacing w:after="0"/>
              <w:rPr>
                <w:sz w:val="20"/>
                <w:szCs w:val="20"/>
                <w:color w:val="auto"/>
              </w:rPr>
            </w:pPr>
            <w:r>
              <w:rPr>
                <w:rFonts w:ascii="Times New Roman" w:cs="Times New Roman" w:eastAsia="Times New Roman" w:hAnsi="Times New Roman"/>
                <w:sz w:val="14"/>
                <w:szCs w:val="14"/>
                <w:color w:val="auto"/>
              </w:rPr>
              <w:t>10,913</w:t>
            </w:r>
          </w:p>
        </w:tc>
        <w:tc>
          <w:tcPr>
            <w:tcW w:w="100" w:type="dxa"/>
            <w:vAlign w:val="bottom"/>
            <w:tcBorders>
              <w:top w:val="single" w:sz="8" w:color="CCEEFF"/>
            </w:tcBorders>
          </w:tcPr>
          <w:p>
            <w:pPr>
              <w:spacing w:after="0"/>
              <w:rPr>
                <w:sz w:val="13"/>
                <w:szCs w:val="13"/>
                <w:color w:val="auto"/>
              </w:rPr>
            </w:pPr>
          </w:p>
        </w:tc>
        <w:tc>
          <w:tcPr>
            <w:tcW w:w="120" w:type="dxa"/>
            <w:vAlign w:val="bottom"/>
            <w:tcBorders>
              <w:top w:val="single" w:sz="8" w:color="CCEEFF"/>
            </w:tcBorders>
          </w:tcPr>
          <w:p>
            <w:pPr>
              <w:spacing w:after="0"/>
              <w:rPr>
                <w:sz w:val="13"/>
                <w:szCs w:val="13"/>
                <w:color w:val="auto"/>
              </w:rPr>
            </w:pPr>
          </w:p>
        </w:tc>
        <w:tc>
          <w:tcPr>
            <w:tcW w:w="1060" w:type="dxa"/>
            <w:vAlign w:val="bottom"/>
            <w:tcBorders>
              <w:top w:val="single" w:sz="8" w:color="CCEEFF"/>
            </w:tcBorders>
            <w:vMerge w:val="restart"/>
          </w:tcPr>
          <w:p>
            <w:pPr>
              <w:jc w:val="right"/>
              <w:spacing w:after="0"/>
              <w:rPr>
                <w:sz w:val="20"/>
                <w:szCs w:val="20"/>
                <w:color w:val="auto"/>
              </w:rPr>
            </w:pPr>
            <w:r>
              <w:rPr>
                <w:rFonts w:ascii="Times New Roman" w:cs="Times New Roman" w:eastAsia="Times New Roman" w:hAnsi="Times New Roman"/>
                <w:sz w:val="14"/>
                <w:szCs w:val="14"/>
                <w:color w:val="auto"/>
              </w:rPr>
              <w:t>5,105</w:t>
            </w:r>
          </w:p>
        </w:tc>
        <w:tc>
          <w:tcPr>
            <w:tcW w:w="100" w:type="dxa"/>
            <w:vAlign w:val="bottom"/>
            <w:tcBorders>
              <w:top w:val="single" w:sz="8" w:color="CCEEFF"/>
            </w:tcBorders>
          </w:tcPr>
          <w:p>
            <w:pPr>
              <w:spacing w:after="0"/>
              <w:rPr>
                <w:sz w:val="13"/>
                <w:szCs w:val="13"/>
                <w:color w:val="auto"/>
              </w:rPr>
            </w:pPr>
          </w:p>
        </w:tc>
        <w:tc>
          <w:tcPr>
            <w:tcW w:w="100" w:type="dxa"/>
            <w:vAlign w:val="bottom"/>
            <w:tcBorders>
              <w:top w:val="single" w:sz="8" w:color="CCEEFF"/>
            </w:tcBorders>
          </w:tcPr>
          <w:p>
            <w:pPr>
              <w:spacing w:after="0"/>
              <w:rPr>
                <w:sz w:val="13"/>
                <w:szCs w:val="13"/>
                <w:color w:val="auto"/>
              </w:rPr>
            </w:pPr>
          </w:p>
        </w:tc>
        <w:tc>
          <w:tcPr>
            <w:tcW w:w="980" w:type="dxa"/>
            <w:vAlign w:val="bottom"/>
            <w:tcBorders>
              <w:top w:val="single" w:sz="8" w:color="CCEEFF"/>
            </w:tcBorders>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top w:val="single" w:sz="8" w:color="CCEEFF"/>
            </w:tcBorders>
          </w:tcPr>
          <w:p>
            <w:pPr>
              <w:spacing w:after="0"/>
              <w:rPr>
                <w:sz w:val="13"/>
                <w:szCs w:val="13"/>
                <w:color w:val="auto"/>
              </w:rPr>
            </w:pPr>
          </w:p>
        </w:tc>
        <w:tc>
          <w:tcPr>
            <w:tcW w:w="780" w:type="dxa"/>
            <w:vAlign w:val="bottom"/>
            <w:tcBorders>
              <w:top w:val="single" w:sz="8" w:color="CCEEFF"/>
            </w:tcBorders>
            <w:vMerge w:val="restart"/>
          </w:tcPr>
          <w:p>
            <w:pPr>
              <w:jc w:val="right"/>
              <w:spacing w:after="0"/>
              <w:rPr>
                <w:sz w:val="20"/>
                <w:szCs w:val="20"/>
                <w:color w:val="auto"/>
              </w:rPr>
            </w:pPr>
            <w:r>
              <w:rPr>
                <w:rFonts w:ascii="Times New Roman" w:cs="Times New Roman" w:eastAsia="Times New Roman" w:hAnsi="Times New Roman"/>
                <w:sz w:val="14"/>
                <w:szCs w:val="14"/>
                <w:color w:val="auto"/>
              </w:rPr>
              <w:t>4,567</w:t>
            </w:r>
          </w:p>
        </w:tc>
        <w:tc>
          <w:tcPr>
            <w:tcW w:w="100" w:type="dxa"/>
            <w:vAlign w:val="bottom"/>
            <w:tcBorders>
              <w:top w:val="single" w:sz="8" w:color="CCEEFF"/>
            </w:tcBorders>
          </w:tcPr>
          <w:p>
            <w:pPr>
              <w:spacing w:after="0"/>
              <w:rPr>
                <w:sz w:val="13"/>
                <w:szCs w:val="13"/>
                <w:color w:val="auto"/>
              </w:rPr>
            </w:pPr>
          </w:p>
        </w:tc>
        <w:tc>
          <w:tcPr>
            <w:tcW w:w="200" w:type="dxa"/>
            <w:vAlign w:val="bottom"/>
            <w:tcBorders>
              <w:top w:val="single" w:sz="8" w:color="CCEEFF"/>
            </w:tcBorders>
          </w:tcPr>
          <w:p>
            <w:pPr>
              <w:spacing w:after="0"/>
              <w:rPr>
                <w:sz w:val="13"/>
                <w:szCs w:val="13"/>
                <w:color w:val="auto"/>
              </w:rPr>
            </w:pPr>
          </w:p>
        </w:tc>
        <w:tc>
          <w:tcPr>
            <w:tcW w:w="560" w:type="dxa"/>
            <w:vAlign w:val="bottom"/>
            <w:tcBorders>
              <w:top w:val="single" w:sz="8" w:color="CCEEFF"/>
            </w:tcBorders>
            <w:vMerge w:val="restart"/>
          </w:tcPr>
          <w:p>
            <w:pPr>
              <w:jc w:val="right"/>
              <w:spacing w:after="0"/>
              <w:rPr>
                <w:sz w:val="20"/>
                <w:szCs w:val="20"/>
                <w:color w:val="auto"/>
              </w:rPr>
            </w:pPr>
            <w:r>
              <w:rPr>
                <w:rFonts w:ascii="Times New Roman" w:cs="Times New Roman" w:eastAsia="Times New Roman" w:hAnsi="Times New Roman"/>
                <w:sz w:val="14"/>
                <w:szCs w:val="14"/>
                <w:color w:val="auto"/>
              </w:rPr>
              <w:t>1,849</w:t>
            </w:r>
          </w:p>
        </w:tc>
        <w:tc>
          <w:tcPr>
            <w:tcW w:w="100" w:type="dxa"/>
            <w:vAlign w:val="bottom"/>
            <w:tcBorders>
              <w:top w:val="single" w:sz="8" w:color="CCEEFF"/>
            </w:tcBorders>
          </w:tcPr>
          <w:p>
            <w:pPr>
              <w:spacing w:after="0"/>
              <w:rPr>
                <w:sz w:val="13"/>
                <w:szCs w:val="13"/>
                <w:color w:val="auto"/>
              </w:rPr>
            </w:pPr>
          </w:p>
        </w:tc>
        <w:tc>
          <w:tcPr>
            <w:tcW w:w="100" w:type="dxa"/>
            <w:vAlign w:val="bottom"/>
            <w:tcBorders>
              <w:top w:val="single" w:sz="8" w:color="CCEEFF"/>
            </w:tcBorders>
          </w:tcPr>
          <w:p>
            <w:pPr>
              <w:spacing w:after="0"/>
              <w:rPr>
                <w:sz w:val="13"/>
                <w:szCs w:val="13"/>
                <w:color w:val="auto"/>
              </w:rPr>
            </w:pPr>
          </w:p>
        </w:tc>
        <w:tc>
          <w:tcPr>
            <w:tcW w:w="780" w:type="dxa"/>
            <w:vAlign w:val="bottom"/>
            <w:tcBorders>
              <w:top w:val="single" w:sz="8" w:color="CCEEFF"/>
            </w:tcBorders>
            <w:vMerge w:val="restart"/>
          </w:tcPr>
          <w:p>
            <w:pPr>
              <w:ind w:left="460"/>
              <w:spacing w:after="0"/>
              <w:rPr>
                <w:sz w:val="20"/>
                <w:szCs w:val="20"/>
                <w:color w:val="auto"/>
              </w:rPr>
            </w:pPr>
            <w:r>
              <w:rPr>
                <w:rFonts w:ascii="Times New Roman" w:cs="Times New Roman" w:eastAsia="Times New Roman" w:hAnsi="Times New Roman"/>
                <w:sz w:val="14"/>
                <w:szCs w:val="14"/>
                <w:color w:val="auto"/>
                <w:w w:val="98"/>
              </w:rPr>
              <w:t>(298)</w:t>
            </w:r>
          </w:p>
        </w:tc>
        <w:tc>
          <w:tcPr>
            <w:tcW w:w="100" w:type="dxa"/>
            <w:vAlign w:val="bottom"/>
            <w:tcBorders>
              <w:top w:val="single" w:sz="8" w:color="CCEEFF"/>
            </w:tcBorders>
          </w:tcPr>
          <w:p>
            <w:pPr>
              <w:spacing w:after="0"/>
              <w:rPr>
                <w:sz w:val="13"/>
                <w:szCs w:val="13"/>
                <w:color w:val="auto"/>
              </w:rPr>
            </w:pPr>
          </w:p>
        </w:tc>
        <w:tc>
          <w:tcPr>
            <w:tcW w:w="120" w:type="dxa"/>
            <w:vAlign w:val="bottom"/>
            <w:tcBorders>
              <w:top w:val="single" w:sz="8" w:color="CCEEFF"/>
            </w:tcBorders>
          </w:tcPr>
          <w:p>
            <w:pPr>
              <w:spacing w:after="0"/>
              <w:rPr>
                <w:sz w:val="13"/>
                <w:szCs w:val="13"/>
                <w:color w:val="auto"/>
              </w:rPr>
            </w:pPr>
          </w:p>
        </w:tc>
        <w:tc>
          <w:tcPr>
            <w:tcW w:w="680" w:type="dxa"/>
            <w:vAlign w:val="bottom"/>
            <w:tcBorders>
              <w:top w:val="single" w:sz="8" w:color="CCEEFF"/>
            </w:tcBorders>
            <w:vMerge w:val="restart"/>
          </w:tcPr>
          <w:p>
            <w:pPr>
              <w:jc w:val="right"/>
              <w:spacing w:after="0"/>
              <w:rPr>
                <w:sz w:val="20"/>
                <w:szCs w:val="20"/>
                <w:color w:val="auto"/>
              </w:rPr>
            </w:pPr>
            <w:r>
              <w:rPr>
                <w:rFonts w:ascii="Times New Roman" w:cs="Times New Roman" w:eastAsia="Times New Roman" w:hAnsi="Times New Roman"/>
                <w:sz w:val="14"/>
                <w:szCs w:val="14"/>
                <w:color w:val="auto"/>
              </w:rPr>
              <w:t>(1,036)</w:t>
            </w:r>
          </w:p>
        </w:tc>
        <w:tc>
          <w:tcPr>
            <w:tcW w:w="0" w:type="dxa"/>
            <w:vAlign w:val="bottom"/>
          </w:tcPr>
          <w:p>
            <w:pPr>
              <w:spacing w:after="0"/>
              <w:rPr>
                <w:sz w:val="1"/>
                <w:szCs w:val="1"/>
                <w:color w:val="auto"/>
              </w:rPr>
            </w:pPr>
          </w:p>
        </w:tc>
      </w:tr>
      <w:tr>
        <w:trPr>
          <w:trHeight w:val="198"/>
        </w:trPr>
        <w:tc>
          <w:tcPr>
            <w:tcW w:w="8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2025</w:t>
            </w:r>
          </w:p>
        </w:tc>
        <w:tc>
          <w:tcPr>
            <w:tcW w:w="1100" w:type="dxa"/>
            <w:vAlign w:val="bottom"/>
            <w:vMerge w:val="continue"/>
          </w:tcPr>
          <w:p>
            <w:pPr>
              <w:spacing w:after="0"/>
              <w:rPr>
                <w:sz w:val="17"/>
                <w:szCs w:val="17"/>
                <w:color w:val="auto"/>
              </w:rPr>
            </w:pPr>
          </w:p>
        </w:tc>
        <w:tc>
          <w:tcPr>
            <w:tcW w:w="40" w:type="dxa"/>
            <w:vAlign w:val="bottom"/>
            <w:vMerge w:val="continue"/>
          </w:tcPr>
          <w:p>
            <w:pPr>
              <w:spacing w:after="0"/>
              <w:rPr>
                <w:sz w:val="17"/>
                <w:szCs w:val="17"/>
                <w:color w:val="auto"/>
              </w:rPr>
            </w:pPr>
          </w:p>
        </w:tc>
        <w:tc>
          <w:tcPr>
            <w:tcW w:w="1020" w:type="dxa"/>
            <w:vAlign w:val="bottom"/>
            <w:gridSpan w:val="2"/>
            <w:vMerge w:val="continue"/>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gridSpan w:val="2"/>
            <w:vMerge w:val="continue"/>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6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50"/>
        </w:trPr>
        <w:tc>
          <w:tcPr>
            <w:tcW w:w="2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1140" w:type="dxa"/>
            <w:vAlign w:val="bottom"/>
            <w:gridSpan w:val="2"/>
            <w:shd w:val="clear" w:color="auto" w:fill="CCEEFF"/>
          </w:tcPr>
          <w:p>
            <w:pPr>
              <w:ind w:left="40"/>
              <w:spacing w:after="0" w:line="150" w:lineRule="exact"/>
              <w:rPr>
                <w:sz w:val="20"/>
                <w:szCs w:val="20"/>
                <w:color w:val="auto"/>
              </w:rPr>
            </w:pPr>
            <w:r>
              <w:rPr>
                <w:rFonts w:ascii="Times New Roman" w:cs="Times New Roman" w:eastAsia="Times New Roman" w:hAnsi="Times New Roman"/>
                <w:sz w:val="14"/>
                <w:szCs w:val="14"/>
                <w:color w:val="auto"/>
              </w:rPr>
              <w:t>Multifamily/Pre-</w:t>
            </w:r>
          </w:p>
        </w:tc>
        <w:tc>
          <w:tcPr>
            <w:tcW w:w="52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7"/>
        </w:trPr>
        <w:tc>
          <w:tcPr>
            <w:tcW w:w="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ind w:left="40"/>
              <w:spacing w:after="0" w:line="147" w:lineRule="exact"/>
              <w:rPr>
                <w:sz w:val="20"/>
                <w:szCs w:val="20"/>
                <w:color w:val="auto"/>
              </w:rPr>
            </w:pPr>
            <w:r>
              <w:rPr>
                <w:rFonts w:ascii="Times New Roman" w:cs="Times New Roman" w:eastAsia="Times New Roman" w:hAnsi="Times New Roman"/>
                <w:sz w:val="14"/>
                <w:szCs w:val="14"/>
                <w:color w:val="auto"/>
              </w:rPr>
              <w:t>dev - California</w:t>
            </w:r>
            <w:r>
              <w:rPr>
                <w:rFonts w:ascii="Times New Roman" w:cs="Times New Roman" w:eastAsia="Times New Roman" w:hAnsi="Times New Roman"/>
                <w:sz w:val="17"/>
                <w:szCs w:val="17"/>
                <w:color w:val="auto"/>
                <w:vertAlign w:val="superscript"/>
              </w:rPr>
              <w:t>(3)</w:t>
            </w:r>
          </w:p>
        </w:tc>
        <w:tc>
          <w:tcPr>
            <w:tcW w:w="5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1"/>
        </w:trPr>
        <w:tc>
          <w:tcPr>
            <w:tcW w:w="20" w:type="dxa"/>
            <w:vAlign w:val="bottom"/>
            <w:shd w:val="clear" w:color="auto" w:fill="CCEEFF"/>
          </w:tcPr>
          <w:p>
            <w:pPr>
              <w:spacing w:after="0"/>
              <w:rPr>
                <w:sz w:val="10"/>
                <w:szCs w:val="10"/>
                <w:color w:val="auto"/>
              </w:rPr>
            </w:pPr>
          </w:p>
        </w:tc>
        <w:tc>
          <w:tcPr>
            <w:tcW w:w="82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4"/>
                <w:szCs w:val="14"/>
                <w:color w:val="auto"/>
              </w:rPr>
              <w:t>July 2025</w:t>
            </w:r>
          </w:p>
        </w:tc>
        <w:tc>
          <w:tcPr>
            <w:tcW w:w="11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9"/>
                <w:szCs w:val="9"/>
                <w:color w:val="auto"/>
              </w:rPr>
              <w:t>(4)</w:t>
            </w:r>
          </w:p>
        </w:tc>
        <w:tc>
          <w:tcPr>
            <w:tcW w:w="40" w:type="dxa"/>
            <w:vAlign w:val="bottom"/>
            <w:shd w:val="clear" w:color="auto" w:fill="CCEEFF"/>
          </w:tcPr>
          <w:p>
            <w:pPr>
              <w:spacing w:after="0"/>
              <w:rPr>
                <w:sz w:val="10"/>
                <w:szCs w:val="10"/>
                <w:color w:val="auto"/>
              </w:rPr>
            </w:pPr>
          </w:p>
        </w:tc>
        <w:tc>
          <w:tcPr>
            <w:tcW w:w="1100" w:type="dxa"/>
            <w:vAlign w:val="bottom"/>
            <w:gridSpan w:val="3"/>
            <w:vMerge w:val="restart"/>
            <w:shd w:val="clear" w:color="auto" w:fill="CCEEFF"/>
          </w:tcPr>
          <w:p>
            <w:pPr>
              <w:jc w:val="center"/>
              <w:ind w:right="80"/>
              <w:spacing w:after="0"/>
              <w:rPr>
                <w:sz w:val="20"/>
                <w:szCs w:val="20"/>
                <w:color w:val="auto"/>
              </w:rPr>
            </w:pPr>
            <w:r>
              <w:rPr>
                <w:rFonts w:ascii="Times New Roman" w:cs="Times New Roman" w:eastAsia="Times New Roman" w:hAnsi="Times New Roman"/>
                <w:sz w:val="14"/>
                <w:szCs w:val="14"/>
                <w:color w:val="auto"/>
              </w:rPr>
              <w:t>n/a</w:t>
            </w:r>
          </w:p>
        </w:tc>
        <w:tc>
          <w:tcPr>
            <w:tcW w:w="120" w:type="dxa"/>
            <w:vAlign w:val="bottom"/>
            <w:shd w:val="clear" w:color="auto" w:fill="CCEEFF"/>
          </w:tcPr>
          <w:p>
            <w:pPr>
              <w:spacing w:after="0"/>
              <w:rPr>
                <w:sz w:val="10"/>
                <w:szCs w:val="10"/>
                <w:color w:val="auto"/>
              </w:rPr>
            </w:pPr>
          </w:p>
        </w:tc>
        <w:tc>
          <w:tcPr>
            <w:tcW w:w="6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39,760</w:t>
            </w: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39,760</w:t>
            </w: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1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0"/>
                <w:szCs w:val="10"/>
                <w:color w:val="auto"/>
              </w:rPr>
            </w:pPr>
          </w:p>
        </w:tc>
        <w:tc>
          <w:tcPr>
            <w:tcW w:w="9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0"/>
                <w:szCs w:val="10"/>
                <w:color w:val="auto"/>
              </w:rPr>
            </w:pPr>
          </w:p>
        </w:tc>
        <w:tc>
          <w:tcPr>
            <w:tcW w:w="8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0"/>
                <w:szCs w:val="10"/>
                <w:color w:val="auto"/>
              </w:rPr>
            </w:pPr>
          </w:p>
        </w:tc>
        <w:tc>
          <w:tcPr>
            <w:tcW w:w="6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0"/>
                <w:szCs w:val="10"/>
                <w:color w:val="auto"/>
              </w:rPr>
            </w:pPr>
          </w:p>
        </w:tc>
        <w:tc>
          <w:tcPr>
            <w:tcW w:w="880" w:type="dxa"/>
            <w:vAlign w:val="bottom"/>
            <w:gridSpan w:val="2"/>
            <w:vMerge w:val="restart"/>
            <w:shd w:val="clear" w:color="auto" w:fill="CCEEFF"/>
          </w:tcPr>
          <w:p>
            <w:pPr>
              <w:ind w:left="5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0"/>
                <w:szCs w:val="10"/>
                <w:color w:val="auto"/>
              </w:rPr>
            </w:pPr>
          </w:p>
        </w:tc>
        <w:tc>
          <w:tcPr>
            <w:tcW w:w="6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68"/>
        </w:trPr>
        <w:tc>
          <w:tcPr>
            <w:tcW w:w="20" w:type="dxa"/>
            <w:vAlign w:val="bottom"/>
            <w:shd w:val="clear" w:color="auto" w:fill="CCEEFF"/>
          </w:tcPr>
          <w:p>
            <w:pPr>
              <w:spacing w:after="0"/>
              <w:rPr>
                <w:sz w:val="5"/>
                <w:szCs w:val="5"/>
                <w:color w:val="auto"/>
              </w:rPr>
            </w:pPr>
          </w:p>
        </w:tc>
        <w:tc>
          <w:tcPr>
            <w:tcW w:w="820" w:type="dxa"/>
            <w:vAlign w:val="bottom"/>
            <w:vMerge w:val="continue"/>
            <w:shd w:val="clear" w:color="auto" w:fill="CCEEFF"/>
          </w:tcPr>
          <w:p>
            <w:pPr>
              <w:spacing w:after="0"/>
              <w:rPr>
                <w:sz w:val="5"/>
                <w:szCs w:val="5"/>
                <w:color w:val="auto"/>
              </w:rPr>
            </w:pPr>
          </w:p>
        </w:tc>
        <w:tc>
          <w:tcPr>
            <w:tcW w:w="1100" w:type="dxa"/>
            <w:vAlign w:val="bottom"/>
            <w:shd w:val="clear" w:color="auto" w:fill="CCEEFF"/>
          </w:tcPr>
          <w:p>
            <w:pPr>
              <w:spacing w:after="0"/>
              <w:rPr>
                <w:sz w:val="5"/>
                <w:szCs w:val="5"/>
                <w:color w:val="auto"/>
              </w:rPr>
            </w:pPr>
          </w:p>
        </w:tc>
        <w:tc>
          <w:tcPr>
            <w:tcW w:w="40" w:type="dxa"/>
            <w:vAlign w:val="bottom"/>
            <w:shd w:val="clear" w:color="auto" w:fill="CCEEFF"/>
          </w:tcPr>
          <w:p>
            <w:pPr>
              <w:spacing w:after="0"/>
              <w:rPr>
                <w:sz w:val="5"/>
                <w:szCs w:val="5"/>
                <w:color w:val="auto"/>
              </w:rPr>
            </w:pPr>
          </w:p>
        </w:tc>
        <w:tc>
          <w:tcPr>
            <w:tcW w:w="1100" w:type="dxa"/>
            <w:vAlign w:val="bottom"/>
            <w:gridSpan w:val="3"/>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660" w:type="dxa"/>
            <w:vAlign w:val="bottom"/>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040" w:type="dxa"/>
            <w:vAlign w:val="bottom"/>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160" w:type="dxa"/>
            <w:vAlign w:val="bottom"/>
            <w:gridSpan w:val="2"/>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980" w:type="dxa"/>
            <w:vAlign w:val="bottom"/>
            <w:gridSpan w:val="2"/>
            <w:vMerge w:val="continue"/>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880" w:type="dxa"/>
            <w:vAlign w:val="bottom"/>
            <w:gridSpan w:val="2"/>
            <w:vMerge w:val="continue"/>
            <w:shd w:val="clear" w:color="auto" w:fill="CCEEFF"/>
          </w:tcPr>
          <w:p>
            <w:pPr>
              <w:spacing w:after="0"/>
              <w:rPr>
                <w:sz w:val="5"/>
                <w:szCs w:val="5"/>
                <w:color w:val="auto"/>
              </w:rPr>
            </w:pPr>
          </w:p>
        </w:tc>
        <w:tc>
          <w:tcPr>
            <w:tcW w:w="200" w:type="dxa"/>
            <w:vAlign w:val="bottom"/>
            <w:shd w:val="clear" w:color="auto" w:fill="CCEEFF"/>
          </w:tcPr>
          <w:p>
            <w:pPr>
              <w:spacing w:after="0"/>
              <w:rPr>
                <w:sz w:val="5"/>
                <w:szCs w:val="5"/>
                <w:color w:val="auto"/>
              </w:rPr>
            </w:pPr>
          </w:p>
        </w:tc>
        <w:tc>
          <w:tcPr>
            <w:tcW w:w="660" w:type="dxa"/>
            <w:vAlign w:val="bottom"/>
            <w:gridSpan w:val="2"/>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880" w:type="dxa"/>
            <w:vAlign w:val="bottom"/>
            <w:gridSpan w:val="2"/>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68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82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May 2025</w:t>
            </w:r>
          </w:p>
        </w:tc>
        <w:tc>
          <w:tcPr>
            <w:tcW w:w="1140" w:type="dxa"/>
            <w:vAlign w:val="bottom"/>
            <w:gridSpan w:val="2"/>
          </w:tcPr>
          <w:p>
            <w:pPr>
              <w:ind w:left="40"/>
              <w:spacing w:after="0" w:line="150" w:lineRule="exact"/>
              <w:rPr>
                <w:sz w:val="20"/>
                <w:szCs w:val="20"/>
                <w:color w:val="auto"/>
              </w:rPr>
            </w:pPr>
            <w:r>
              <w:rPr>
                <w:rFonts w:ascii="Times New Roman" w:cs="Times New Roman" w:eastAsia="Times New Roman" w:hAnsi="Times New Roman"/>
                <w:sz w:val="14"/>
                <w:szCs w:val="14"/>
                <w:color w:val="auto"/>
              </w:rPr>
              <w:t>Hotel -</w:t>
            </w:r>
          </w:p>
        </w:tc>
        <w:tc>
          <w:tcPr>
            <w:tcW w:w="102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4"/>
                <w:szCs w:val="14"/>
                <w:color w:val="auto"/>
              </w:rPr>
              <w:t>541</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139,126</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36,166</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91,719</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10,197</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80</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10,034</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gridSpan w:val="2"/>
            <w:vMerge w:val="restart"/>
          </w:tcPr>
          <w:p>
            <w:pPr>
              <w:ind w:left="5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3"/>
                <w:szCs w:val="13"/>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(9,070)</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820" w:type="dxa"/>
            <w:vAlign w:val="bottom"/>
            <w:vMerge w:val="continue"/>
          </w:tcPr>
          <w:p>
            <w:pPr>
              <w:spacing w:after="0"/>
              <w:rPr>
                <w:sz w:val="17"/>
                <w:szCs w:val="17"/>
                <w:color w:val="auto"/>
              </w:rPr>
            </w:pPr>
          </w:p>
        </w:tc>
        <w:tc>
          <w:tcPr>
            <w:tcW w:w="1140" w:type="dxa"/>
            <w:vAlign w:val="bottom"/>
            <w:gridSpan w:val="2"/>
          </w:tcPr>
          <w:p>
            <w:pPr>
              <w:ind w:left="40"/>
              <w:spacing w:after="0" w:line="201" w:lineRule="exact"/>
              <w:rPr>
                <w:sz w:val="20"/>
                <w:szCs w:val="20"/>
                <w:color w:val="auto"/>
              </w:rPr>
            </w:pPr>
            <w:r>
              <w:rPr>
                <w:rFonts w:ascii="Times New Roman" w:cs="Times New Roman" w:eastAsia="Times New Roman" w:hAnsi="Times New Roman"/>
                <w:sz w:val="14"/>
                <w:szCs w:val="14"/>
                <w:color w:val="auto"/>
              </w:rPr>
              <w:t>California</w:t>
            </w:r>
            <w:r>
              <w:rPr>
                <w:rFonts w:ascii="Times New Roman" w:cs="Times New Roman" w:eastAsia="Times New Roman" w:hAnsi="Times New Roman"/>
                <w:sz w:val="18"/>
                <w:szCs w:val="18"/>
                <w:color w:val="auto"/>
                <w:vertAlign w:val="superscript"/>
              </w:rPr>
              <w:t>(3)</w:t>
            </w:r>
          </w:p>
        </w:tc>
        <w:tc>
          <w:tcPr>
            <w:tcW w:w="1020" w:type="dxa"/>
            <w:vAlign w:val="bottom"/>
            <w:gridSpan w:val="2"/>
            <w:vMerge w:val="continue"/>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6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50"/>
        </w:trPr>
        <w:tc>
          <w:tcPr>
            <w:tcW w:w="2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line="150" w:lineRule="exact"/>
              <w:rPr>
                <w:sz w:val="20"/>
                <w:szCs w:val="20"/>
                <w:color w:val="auto"/>
              </w:rPr>
            </w:pPr>
            <w:r>
              <w:rPr>
                <w:rFonts w:ascii="Times New Roman" w:cs="Times New Roman" w:eastAsia="Times New Roman" w:hAnsi="Times New Roman"/>
                <w:sz w:val="14"/>
                <w:szCs w:val="14"/>
                <w:color w:val="auto"/>
              </w:rPr>
              <w:t>February</w:t>
            </w:r>
          </w:p>
        </w:tc>
        <w:tc>
          <w:tcPr>
            <w:tcW w:w="1140" w:type="dxa"/>
            <w:vAlign w:val="bottom"/>
            <w:gridSpan w:val="2"/>
            <w:shd w:val="clear" w:color="auto" w:fill="CCEEFF"/>
          </w:tcPr>
          <w:p>
            <w:pPr>
              <w:ind w:left="40"/>
              <w:spacing w:after="0" w:line="150" w:lineRule="exact"/>
              <w:rPr>
                <w:sz w:val="20"/>
                <w:szCs w:val="20"/>
                <w:color w:val="auto"/>
              </w:rPr>
            </w:pPr>
            <w:r>
              <w:rPr>
                <w:rFonts w:ascii="Times New Roman" w:cs="Times New Roman" w:eastAsia="Times New Roman" w:hAnsi="Times New Roman"/>
                <w:sz w:val="14"/>
                <w:szCs w:val="14"/>
                <w:color w:val="auto"/>
              </w:rPr>
              <w:t>Multifamily -</w:t>
            </w:r>
          </w:p>
        </w:tc>
        <w:tc>
          <w:tcPr>
            <w:tcW w:w="1020" w:type="dxa"/>
            <w:vAlign w:val="bottom"/>
            <w:gridSpan w:val="2"/>
            <w:vMerge w:val="restart"/>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285</w:t>
            </w: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31,965</w:t>
            </w: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9,007</w:t>
            </w: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21,051</w:t>
            </w: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270</w:t>
            </w: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1,456</w:t>
            </w: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5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708</w:t>
            </w: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80" w:type="dxa"/>
            <w:vAlign w:val="bottom"/>
            <w:gridSpan w:val="2"/>
            <w:vMerge w:val="restart"/>
            <w:shd w:val="clear" w:color="auto" w:fill="CCEEFF"/>
          </w:tcPr>
          <w:p>
            <w:pPr>
              <w:ind w:left="5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3"/>
                <w:szCs w:val="13"/>
                <w:color w:val="auto"/>
              </w:rPr>
            </w:pPr>
          </w:p>
        </w:tc>
        <w:tc>
          <w:tcPr>
            <w:tcW w:w="6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(527)</w:t>
            </w:r>
          </w:p>
        </w:tc>
        <w:tc>
          <w:tcPr>
            <w:tcW w:w="0" w:type="dxa"/>
            <w:vAlign w:val="bottom"/>
          </w:tcPr>
          <w:p>
            <w:pPr>
              <w:spacing w:after="0"/>
              <w:rPr>
                <w:sz w:val="1"/>
                <w:szCs w:val="1"/>
                <w:color w:val="auto"/>
              </w:rPr>
            </w:pPr>
          </w:p>
        </w:tc>
      </w:tr>
      <w:tr>
        <w:trPr>
          <w:trHeight w:val="201"/>
        </w:trPr>
        <w:tc>
          <w:tcPr>
            <w:tcW w:w="8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2025</w:t>
            </w:r>
          </w:p>
        </w:tc>
        <w:tc>
          <w:tcPr>
            <w:tcW w:w="1140" w:type="dxa"/>
            <w:vAlign w:val="bottom"/>
            <w:gridSpan w:val="2"/>
            <w:shd w:val="clear" w:color="auto" w:fill="CCEEFF"/>
          </w:tcPr>
          <w:p>
            <w:pPr>
              <w:ind w:left="40"/>
              <w:spacing w:after="0" w:line="201" w:lineRule="exact"/>
              <w:rPr>
                <w:sz w:val="20"/>
                <w:szCs w:val="20"/>
                <w:color w:val="auto"/>
              </w:rPr>
            </w:pPr>
            <w:r>
              <w:rPr>
                <w:rFonts w:ascii="Times New Roman" w:cs="Times New Roman" w:eastAsia="Times New Roman" w:hAnsi="Times New Roman"/>
                <w:sz w:val="14"/>
                <w:szCs w:val="14"/>
                <w:color w:val="auto"/>
              </w:rPr>
              <w:t>Arizona</w:t>
            </w:r>
            <w:r>
              <w:rPr>
                <w:rFonts w:ascii="Times New Roman" w:cs="Times New Roman" w:eastAsia="Times New Roman" w:hAnsi="Times New Roman"/>
                <w:sz w:val="18"/>
                <w:szCs w:val="18"/>
                <w:color w:val="auto"/>
                <w:vertAlign w:val="superscript"/>
              </w:rPr>
              <w:t>(5)</w:t>
            </w:r>
          </w:p>
        </w:tc>
        <w:tc>
          <w:tcPr>
            <w:tcW w:w="1020" w:type="dxa"/>
            <w:vAlign w:val="bottom"/>
            <w:gridSpan w:val="2"/>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4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6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6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277,351</w:t>
            </w:r>
          </w:p>
        </w:tc>
        <w:tc>
          <w:tcPr>
            <w:tcW w:w="100" w:type="dxa"/>
            <w:vAlign w:val="bottom"/>
          </w:tcPr>
          <w:p>
            <w:pPr>
              <w:spacing w:after="0"/>
              <w:rPr>
                <w:sz w:val="16"/>
                <w:szCs w:val="16"/>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109,332</w:t>
            </w:r>
          </w:p>
        </w:tc>
        <w:tc>
          <w:tcPr>
            <w:tcW w:w="100" w:type="dxa"/>
            <w:vAlign w:val="bottom"/>
          </w:tcPr>
          <w:p>
            <w:pPr>
              <w:spacing w:after="0"/>
              <w:rPr>
                <w:sz w:val="16"/>
                <w:szCs w:val="16"/>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143,819</w:t>
            </w:r>
          </w:p>
        </w:tc>
        <w:tc>
          <w:tcPr>
            <w:tcW w:w="100" w:type="dxa"/>
            <w:vAlign w:val="bottom"/>
          </w:tcPr>
          <w:p>
            <w:pPr>
              <w:spacing w:after="0"/>
              <w:rPr>
                <w:sz w:val="16"/>
                <w:szCs w:val="16"/>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11,702</w:t>
            </w:r>
          </w:p>
        </w:tc>
        <w:tc>
          <w:tcPr>
            <w:tcW w:w="100" w:type="dxa"/>
            <w:vAlign w:val="bottom"/>
          </w:tcPr>
          <w:p>
            <w:pPr>
              <w:spacing w:after="0"/>
              <w:rPr>
                <w:sz w:val="16"/>
                <w:szCs w:val="16"/>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10,229</w:t>
            </w:r>
          </w:p>
        </w:tc>
        <w:tc>
          <w:tcPr>
            <w:tcW w:w="100" w:type="dxa"/>
            <w:vAlign w:val="bottom"/>
          </w:tcPr>
          <w:p>
            <w:pPr>
              <w:spacing w:after="0"/>
              <w:rPr>
                <w:sz w:val="16"/>
                <w:szCs w:val="16"/>
                <w:color w:val="auto"/>
              </w:rPr>
            </w:pPr>
          </w:p>
        </w:tc>
        <w:tc>
          <w:tcPr>
            <w:tcW w:w="200" w:type="dxa"/>
            <w:vAlign w:val="bottom"/>
            <w:tcBorders>
              <w:top w:val="single" w:sz="8" w:color="auto"/>
            </w:tcBorders>
          </w:tcPr>
          <w:p>
            <w:pPr>
              <w:jc w:val="right"/>
              <w:ind w:right="51"/>
              <w:spacing w:after="0"/>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15,467</w:t>
            </w:r>
          </w:p>
        </w:tc>
        <w:tc>
          <w:tcPr>
            <w:tcW w:w="100" w:type="dxa"/>
            <w:vAlign w:val="bottom"/>
          </w:tcPr>
          <w:p>
            <w:pPr>
              <w:spacing w:after="0"/>
              <w:rPr>
                <w:sz w:val="16"/>
                <w:szCs w:val="16"/>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top w:val="single" w:sz="8" w:color="auto"/>
            </w:tcBorders>
          </w:tcPr>
          <w:p>
            <w:pPr>
              <w:ind w:left="460"/>
              <w:spacing w:after="0"/>
              <w:rPr>
                <w:sz w:val="20"/>
                <w:szCs w:val="20"/>
                <w:color w:val="auto"/>
              </w:rPr>
            </w:pPr>
            <w:r>
              <w:rPr>
                <w:rFonts w:ascii="Times New Roman" w:cs="Times New Roman" w:eastAsia="Times New Roman" w:hAnsi="Times New Roman"/>
                <w:sz w:val="14"/>
                <w:szCs w:val="14"/>
                <w:color w:val="auto"/>
                <w:w w:val="98"/>
              </w:rPr>
              <w:t>(298)</w:t>
            </w:r>
          </w:p>
        </w:tc>
        <w:tc>
          <w:tcPr>
            <w:tcW w:w="100" w:type="dxa"/>
            <w:vAlign w:val="bottom"/>
          </w:tcPr>
          <w:p>
            <w:pPr>
              <w:spacing w:after="0"/>
              <w:rPr>
                <w:sz w:val="16"/>
                <w:szCs w:val="16"/>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(12,900)</w:t>
            </w: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0" w:type="dxa"/>
            <w:vAlign w:val="bottom"/>
          </w:tcPr>
          <w:p>
            <w:pPr>
              <w:spacing w:after="0"/>
              <w:rPr>
                <w:sz w:val="2"/>
                <w:szCs w:val="2"/>
                <w:color w:val="auto"/>
              </w:rPr>
            </w:pPr>
          </w:p>
        </w:tc>
        <w:tc>
          <w:tcPr>
            <w:tcW w:w="520" w:type="dxa"/>
            <w:vAlign w:val="bottom"/>
          </w:tcPr>
          <w:p>
            <w:pPr>
              <w:spacing w:after="0"/>
              <w:rPr>
                <w:sz w:val="2"/>
                <w:szCs w:val="2"/>
                <w:color w:val="auto"/>
              </w:rPr>
            </w:pPr>
          </w:p>
        </w:tc>
        <w:tc>
          <w:tcPr>
            <w:tcW w:w="5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_________________________________________</w:t>
      </w:r>
    </w:p>
    <w:p>
      <w:pPr>
        <w:spacing w:after="0" w:line="17" w:lineRule="exact"/>
        <w:rPr>
          <w:sz w:val="20"/>
          <w:szCs w:val="20"/>
          <w:color w:val="auto"/>
        </w:rPr>
      </w:pPr>
    </w:p>
    <w:p>
      <w:pPr>
        <w:ind w:left="320" w:hanging="312"/>
        <w:spacing w:after="0"/>
        <w:tabs>
          <w:tab w:leader="none" w:pos="32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 multifamily properties, represents number of units. For hotels, it represents number of rooms.</w:t>
      </w:r>
    </w:p>
    <w:p>
      <w:pPr>
        <w:spacing w:after="0" w:line="11" w:lineRule="exact"/>
        <w:rPr>
          <w:rFonts w:ascii="Times New Roman" w:cs="Times New Roman" w:eastAsia="Times New Roman" w:hAnsi="Times New Roman"/>
          <w:sz w:val="14"/>
          <w:szCs w:val="14"/>
          <w:color w:val="auto"/>
        </w:rPr>
      </w:pPr>
    </w:p>
    <w:p>
      <w:pPr>
        <w:ind w:left="320" w:hanging="312"/>
        <w:spacing w:after="0"/>
        <w:tabs>
          <w:tab w:leader="none" w:pos="32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Useful life of real estate acquired is 28 to 40 years for buildings, four to 15 years for tenant improvements, four to nine for furniture and fixtures, and one to 12 years for lease intangibles.</w:t>
      </w:r>
    </w:p>
    <w:p>
      <w:pPr>
        <w:spacing w:after="0" w:line="14" w:lineRule="exact"/>
        <w:rPr>
          <w:rFonts w:ascii="Times New Roman" w:cs="Times New Roman" w:eastAsia="Times New Roman" w:hAnsi="Times New Roman"/>
          <w:sz w:val="14"/>
          <w:szCs w:val="14"/>
          <w:color w:val="auto"/>
        </w:rPr>
      </w:pPr>
    </w:p>
    <w:p>
      <w:pPr>
        <w:ind w:left="320" w:hanging="312"/>
        <w:spacing w:after="0"/>
        <w:tabs>
          <w:tab w:leader="none" w:pos="32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assets acquired by the Company through foreclosure or a deed-in-lieu of foreclosure.</w:t>
      </w:r>
    </w:p>
    <w:p>
      <w:pPr>
        <w:spacing w:after="0" w:line="14" w:lineRule="exact"/>
        <w:rPr>
          <w:rFonts w:ascii="Times New Roman" w:cs="Times New Roman" w:eastAsia="Times New Roman" w:hAnsi="Times New Roman"/>
          <w:sz w:val="14"/>
          <w:szCs w:val="14"/>
          <w:color w:val="auto"/>
        </w:rPr>
      </w:pPr>
    </w:p>
    <w:p>
      <w:pPr>
        <w:ind w:left="320" w:hanging="312"/>
        <w:spacing w:after="0"/>
        <w:tabs>
          <w:tab w:leader="none" w:pos="32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a multifamily construction/development project located in California.</w:t>
      </w:r>
    </w:p>
    <w:p>
      <w:pPr>
        <w:spacing w:after="0" w:line="14" w:lineRule="exact"/>
        <w:rPr>
          <w:rFonts w:ascii="Times New Roman" w:cs="Times New Roman" w:eastAsia="Times New Roman" w:hAnsi="Times New Roman"/>
          <w:sz w:val="14"/>
          <w:szCs w:val="14"/>
          <w:color w:val="auto"/>
        </w:rPr>
      </w:pPr>
    </w:p>
    <w:p>
      <w:pPr>
        <w:ind w:left="340" w:hanging="332"/>
        <w:spacing w:after="0" w:line="263" w:lineRule="auto"/>
        <w:tabs>
          <w:tab w:leader="none" w:pos="338"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a multifamily property held in a VIE for which the Company was deemed the primary beneficiary. The Company consolidated the assets, liabilities and the property's operations on the acquisition date in accordance with ASC 810.</w:t>
      </w: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BRIGHTSPIRE CAPITAL,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Impairment</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recorded $15.3 million of impairment of operating real estate during the nine months ended September 30, 2026.</w:t>
      </w:r>
    </w:p>
    <w:p>
      <w:pPr>
        <w:spacing w:after="0" w:line="15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recorded $6.4 million of impairment related to two multifamily properties, which was due to a reduction in the current expected holding period of the properties. One property is classified as held for sale as of September 30, 2026. The estimated Level 2 fair value of $32.0 million is based on the execution of a purchase and sale agreement during the three months ended September 30, 2026. Refer to “Real Estate Held for Sale” below for further details. One property was sold during the three months ended September 30, 2026, and the impairment recorded was based on the sales proceeds received. Refer to “Real Estate Sales” below for further details.</w:t>
      </w:r>
    </w:p>
    <w:p>
      <w:pPr>
        <w:spacing w:after="0" w:line="11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During the nine months ended September 30, 2026, the Company received notice that it was in default on mortgage notes payable cross-collateralized by five retail properties. In connection with the foreclosure process for one Indiana retail property, one Illinois retail property and one Kansas retail property, receivers were appointed and took possession and full control, requiring deconsolidation of the assets and liabilities from the Company’s consolidated balance sheet, and resulting in impairment of operating real estate of $8.8 million. The Company has no further involvement in the retail properties, and the lender is not a related party.</w:t>
      </w:r>
    </w:p>
    <w:p>
      <w:pPr>
        <w:spacing w:after="0" w:line="10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expects the lender to continue to pursue remedies, and accordingly, will thereby lose control over the two remaining retail properties. At such time, the Company will deconsolidate the mortgage notes payable. The combined carrying value of the two remaining retail properties is $7.9 million, and the unpaid principal balance of the mortgage notes payable is $25.1 million.</w:t>
      </w:r>
    </w:p>
    <w:p>
      <w:pPr>
        <w:spacing w:after="0" w:line="10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May 2025, an investment subsidiary reached a maturity default on its bond financing collateralized by the Company’s Norwegian net lease office campus. Following the maturity default, the lenders exercised remedies and took control by equity pledge of the underlying investment subsidiary, requiring deconsolidation of the assets and liabilities from the Company’s consolidated balance sheet. The deconsolidation resulted in impairment of operating real estate of $49.3 million. The Company has no further involvement in the Norwegian net lease office campus, and the lenders are not a related party.</w:t>
      </w:r>
    </w:p>
    <w:p>
      <w:pPr>
        <w:spacing w:after="0" w:line="11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January 2025, an investment subsidiary defaulted on its mortgage note payable collateralized by one Pennsylvania office property included in the Company’s other real estate, net portfolio. In July 2025, a receiver was appointed and took possession and full control of the property, requiring deconsolidation of the assets and liabilities from the Company’s consolidated balance sheet in the third quarter of 2025. The deconsolidation resulted in impairment of operating real estate of $4.3 million. The Company has no further involvement in the Pennsylvania office property, and the lenders are not a related party.</w:t>
      </w:r>
    </w:p>
    <w:p>
      <w:pPr>
        <w:spacing w:after="0" w:line="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Real Estate Held for Sale</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the three months ended September 30, 2026, a purchase and sale agreement was executed for one multifamily property for a gross sale price of $32.5 million. As of September 30, 2026, the carrying value of the multifamily property is $32.0 million. Subsequent to September 30, 2026, the property was sold.</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Company’s assets held for sale related to real estate (dollars in thousands):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94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580" w:type="dxa"/>
            <w:vAlign w:val="bottom"/>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September 30, 2026</w:t>
            </w:r>
          </w:p>
        </w:tc>
      </w:tr>
      <w:tr>
        <w:trPr>
          <w:trHeight w:val="23"/>
        </w:trPr>
        <w:tc>
          <w:tcPr>
            <w:tcW w:w="94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210"/>
        </w:trPr>
        <w:tc>
          <w:tcPr>
            <w:tcW w:w="9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20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r>
      <w:tr>
        <w:trPr>
          <w:trHeight w:val="226"/>
        </w:trPr>
        <w:tc>
          <w:tcPr>
            <w:tcW w:w="94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Land and improvements</w:t>
            </w: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5,665</w:t>
            </w:r>
          </w:p>
        </w:tc>
      </w:tr>
      <w:tr>
        <w:trPr>
          <w:trHeight w:val="233"/>
        </w:trPr>
        <w:tc>
          <w:tcPr>
            <w:tcW w:w="9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Buildings, building leaseholds, and improvements</w:t>
            </w:r>
          </w:p>
        </w:tc>
        <w:tc>
          <w:tcPr>
            <w:tcW w:w="200" w:type="dxa"/>
            <w:vAlign w:val="bottom"/>
            <w:shd w:val="clear" w:color="auto" w:fill="CCEEFF"/>
          </w:tcPr>
          <w:p>
            <w:pPr>
              <w:spacing w:after="0"/>
              <w:rPr>
                <w:sz w:val="20"/>
                <w:szCs w:val="20"/>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23,241</w:t>
            </w:r>
          </w:p>
        </w:tc>
      </w:tr>
      <w:tr>
        <w:trPr>
          <w:trHeight w:val="227"/>
        </w:trPr>
        <w:tc>
          <w:tcPr>
            <w:tcW w:w="94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Furniture, fixtures and equipment</w:t>
            </w:r>
          </w:p>
        </w:tc>
        <w:tc>
          <w:tcPr>
            <w:tcW w:w="20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775</w:t>
            </w:r>
          </w:p>
        </w:tc>
      </w:tr>
      <w:tr>
        <w:trPr>
          <w:trHeight w:val="229"/>
        </w:trPr>
        <w:tc>
          <w:tcPr>
            <w:tcW w:w="9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Construction-in-progress</w:t>
            </w:r>
          </w:p>
        </w:tc>
        <w:tc>
          <w:tcPr>
            <w:tcW w:w="200" w:type="dxa"/>
            <w:vAlign w:val="bottom"/>
            <w:tcBorders>
              <w:bottom w:val="single" w:sz="8" w:color="auto"/>
            </w:tcBorders>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4,517</w:t>
            </w:r>
          </w:p>
        </w:tc>
      </w:tr>
      <w:tr>
        <w:trPr>
          <w:trHeight w:val="223"/>
        </w:trPr>
        <w:tc>
          <w:tcPr>
            <w:tcW w:w="94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Subtotal</w:t>
            </w:r>
          </w:p>
        </w:tc>
        <w:tc>
          <w:tcPr>
            <w:tcW w:w="20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34,198</w:t>
            </w:r>
          </w:p>
        </w:tc>
      </w:tr>
      <w:tr>
        <w:trPr>
          <w:trHeight w:val="229"/>
        </w:trPr>
        <w:tc>
          <w:tcPr>
            <w:tcW w:w="9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Less: Accumulated depreciation</w:t>
            </w:r>
          </w:p>
        </w:tc>
        <w:tc>
          <w:tcPr>
            <w:tcW w:w="200" w:type="dxa"/>
            <w:vAlign w:val="bottom"/>
            <w:tcBorders>
              <w:bottom w:val="single" w:sz="8" w:color="auto"/>
            </w:tcBorders>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(2,186)</w:t>
            </w:r>
          </w:p>
        </w:tc>
      </w:tr>
      <w:tr>
        <w:trPr>
          <w:trHeight w:val="226"/>
        </w:trPr>
        <w:tc>
          <w:tcPr>
            <w:tcW w:w="9400" w:type="dxa"/>
            <w:vAlign w:val="bottom"/>
          </w:tcPr>
          <w:p>
            <w:pPr>
              <w:ind w:left="140"/>
              <w:spacing w:after="0"/>
              <w:rPr>
                <w:sz w:val="20"/>
                <w:szCs w:val="20"/>
                <w:color w:val="auto"/>
              </w:rPr>
            </w:pPr>
            <w:r>
              <w:rPr>
                <w:rFonts w:ascii="Times New Roman" w:cs="Times New Roman" w:eastAsia="Times New Roman" w:hAnsi="Times New Roman"/>
                <w:sz w:val="16"/>
                <w:szCs w:val="16"/>
                <w:b w:val="1"/>
                <w:bCs w:val="1"/>
                <w:color w:val="auto"/>
              </w:rPr>
              <w:t>Total assets held for sale</w:t>
            </w:r>
          </w:p>
        </w:tc>
        <w:tc>
          <w:tcPr>
            <w:tcW w:w="2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32,012</w:t>
            </w:r>
          </w:p>
        </w:tc>
      </w:tr>
      <w:tr>
        <w:trPr>
          <w:trHeight w:val="20"/>
        </w:trPr>
        <w:tc>
          <w:tcPr>
            <w:tcW w:w="94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r>
      <w:tr>
        <w:trPr>
          <w:trHeight w:val="183"/>
        </w:trPr>
        <w:tc>
          <w:tcPr>
            <w:tcW w:w="94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580" w:type="dxa"/>
            <w:vAlign w:val="bottom"/>
            <w:shd w:val="clear" w:color="auto" w:fill="CCEEFF"/>
          </w:tcPr>
          <w:p>
            <w:pPr>
              <w:spacing w:after="0"/>
              <w:rPr>
                <w:sz w:val="15"/>
                <w:szCs w:val="15"/>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BRIGHTSPIRE CAPITAL,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Real Estate Sales</w:t>
      </w:r>
    </w:p>
    <w:p>
      <w:pPr>
        <w:spacing w:after="0" w:line="148"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During the nine months ended September 30, 2026, the Company sold one industrial portfolio, one office property and one multifamily property for a total gross sale price of $351.4 million. As part of the sale of the industrial portfolio, the purchaser assumed the $200.0 million mortgage note payable. The net gain of $60.4 million on the industrial portfolio and one office property is included in other gain, net on the Company’s consolidated statement of operations. Refer to “Impairment” above for the impairment recorded on the one multifamily property.</w:t>
      </w:r>
    </w:p>
    <w:p>
      <w:pPr>
        <w:spacing w:after="0" w:line="11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During the year ended December 31, 2025, the Company sold three office properties and one multifamily property previously acquired through deeds-in-lieu of foreclosure for a total gross sales price of $85.6 million. Prior to the sale of one office property, the Company recorded an impairment loss of $6.3 million due to shortening the expected hold period. The impairment loss was based on the net proceeds received from the sale. This is included in impairment of operating real estate in the Company’s consolidated statement of operations. The net gain of $1.1 million on three office properties and one multifamily property is included in other gain (loss), net on the Company’s consolidated statement of operations.</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Deferred Leasing Costs and Other Intangibles</w:t>
      </w:r>
    </w:p>
    <w:p>
      <w:pPr>
        <w:spacing w:after="0" w:line="14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Company’s deferred leasing costs, other intangible assets and intangible liabilities, excluding those related to assets held for sale at September 30, 2026 and December 31, 2025 are as follows (dollars in thousands):</w:t>
      </w:r>
    </w:p>
    <w:p>
      <w:pPr>
        <w:spacing w:after="0" w:line="8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2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September 30, 2026</w:t>
            </w:r>
          </w:p>
        </w:tc>
        <w:tc>
          <w:tcPr>
            <w:tcW w:w="1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708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44"/>
        </w:trPr>
        <w:tc>
          <w:tcPr>
            <w:tcW w:w="7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Carrying Amount</w:t>
            </w:r>
          </w:p>
        </w:tc>
        <w:tc>
          <w:tcPr>
            <w:tcW w:w="180" w:type="dxa"/>
            <w:vAlign w:val="bottom"/>
          </w:tcPr>
          <w:p>
            <w:pPr>
              <w:spacing w:after="0"/>
              <w:rPr>
                <w:sz w:val="12"/>
                <w:szCs w:val="12"/>
                <w:color w:val="auto"/>
              </w:rPr>
            </w:pPr>
          </w:p>
        </w:tc>
        <w:tc>
          <w:tcPr>
            <w:tcW w:w="1240" w:type="dxa"/>
            <w:vAlign w:val="bottom"/>
            <w:gridSpan w:val="2"/>
          </w:tcPr>
          <w:p>
            <w:pPr>
              <w:jc w:val="center"/>
              <w:ind w:right="280"/>
              <w:spacing w:after="0" w:line="145"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180" w:type="dxa"/>
            <w:vAlign w:val="bottom"/>
          </w:tcPr>
          <w:p>
            <w:pPr>
              <w:spacing w:after="0"/>
              <w:rPr>
                <w:sz w:val="12"/>
                <w:szCs w:val="12"/>
                <w:color w:val="auto"/>
              </w:rPr>
            </w:pPr>
          </w:p>
        </w:tc>
        <w:tc>
          <w:tcPr>
            <w:tcW w:w="1140" w:type="dxa"/>
            <w:vAlign w:val="bottom"/>
          </w:tcPr>
          <w:p>
            <w:pPr>
              <w:jc w:val="center"/>
              <w:ind w:right="122"/>
              <w:spacing w:after="0" w:line="145" w:lineRule="exact"/>
              <w:rPr>
                <w:sz w:val="20"/>
                <w:szCs w:val="20"/>
                <w:color w:val="auto"/>
              </w:rPr>
            </w:pPr>
            <w:r>
              <w:rPr>
                <w:rFonts w:ascii="Times New Roman" w:cs="Times New Roman" w:eastAsia="Times New Roman" w:hAnsi="Times New Roman"/>
                <w:sz w:val="14"/>
                <w:szCs w:val="14"/>
                <w:b w:val="1"/>
                <w:bCs w:val="1"/>
                <w:color w:val="auto"/>
              </w:rPr>
              <w:t>Net Carrying</w:t>
            </w:r>
          </w:p>
        </w:tc>
        <w:tc>
          <w:tcPr>
            <w:tcW w:w="0" w:type="dxa"/>
            <w:vAlign w:val="bottom"/>
          </w:tcPr>
          <w:p>
            <w:pPr>
              <w:spacing w:after="0"/>
              <w:rPr>
                <w:sz w:val="1"/>
                <w:szCs w:val="1"/>
                <w:color w:val="auto"/>
              </w:rPr>
            </w:pPr>
          </w:p>
        </w:tc>
      </w:tr>
      <w:tr>
        <w:trPr>
          <w:trHeight w:val="195"/>
        </w:trPr>
        <w:tc>
          <w:tcPr>
            <w:tcW w:w="7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2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24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180" w:type="dxa"/>
            <w:vAlign w:val="bottom"/>
          </w:tcPr>
          <w:p>
            <w:pPr>
              <w:spacing w:after="0"/>
              <w:rPr>
                <w:sz w:val="16"/>
                <w:szCs w:val="16"/>
                <w:color w:val="auto"/>
              </w:rPr>
            </w:pPr>
          </w:p>
        </w:tc>
        <w:tc>
          <w:tcPr>
            <w:tcW w:w="1140" w:type="dxa"/>
            <w:vAlign w:val="bottom"/>
          </w:tcPr>
          <w:p>
            <w:pPr>
              <w:jc w:val="center"/>
              <w:ind w:right="102"/>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0" w:type="dxa"/>
            <w:vAlign w:val="bottom"/>
          </w:tcPr>
          <w:p>
            <w:pPr>
              <w:spacing w:after="0"/>
              <w:rPr>
                <w:sz w:val="1"/>
                <w:szCs w:val="1"/>
                <w:color w:val="auto"/>
              </w:rPr>
            </w:pPr>
          </w:p>
        </w:tc>
      </w:tr>
      <w:tr>
        <w:trPr>
          <w:trHeight w:val="214"/>
        </w:trPr>
        <w:tc>
          <w:tcPr>
            <w:tcW w:w="70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Deferred Leasing Costs and Intangible Assets</w:t>
            </w:r>
          </w:p>
        </w:tc>
        <w:tc>
          <w:tcPr>
            <w:tcW w:w="10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70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In-place lease values</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21,165</w:t>
            </w:r>
          </w:p>
        </w:tc>
        <w:tc>
          <w:tcPr>
            <w:tcW w:w="100" w:type="dxa"/>
            <w:vAlign w:val="bottom"/>
          </w:tcPr>
          <w:p>
            <w:pPr>
              <w:spacing w:after="0"/>
              <w:rPr>
                <w:sz w:val="19"/>
                <w:szCs w:val="19"/>
                <w:color w:val="auto"/>
              </w:rPr>
            </w:pPr>
          </w:p>
        </w:tc>
        <w:tc>
          <w:tcPr>
            <w:tcW w:w="18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(20,977)</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188</w:t>
            </w:r>
          </w:p>
        </w:tc>
        <w:tc>
          <w:tcPr>
            <w:tcW w:w="0" w:type="dxa"/>
            <w:vAlign w:val="bottom"/>
          </w:tcPr>
          <w:p>
            <w:pPr>
              <w:spacing w:after="0"/>
              <w:rPr>
                <w:sz w:val="1"/>
                <w:szCs w:val="1"/>
                <w:color w:val="auto"/>
              </w:rPr>
            </w:pPr>
          </w:p>
        </w:tc>
      </w:tr>
      <w:tr>
        <w:trPr>
          <w:trHeight w:val="233"/>
        </w:trPr>
        <w:tc>
          <w:tcPr>
            <w:tcW w:w="7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Deferred leasing costs</w:t>
            </w:r>
          </w:p>
        </w:tc>
        <w:tc>
          <w:tcPr>
            <w:tcW w:w="100" w:type="dxa"/>
            <w:vAlign w:val="bottom"/>
            <w:shd w:val="clear" w:color="auto" w:fill="CCEEFF"/>
          </w:tcPr>
          <w:p>
            <w:pPr>
              <w:spacing w:after="0"/>
              <w:rPr>
                <w:sz w:val="20"/>
                <w:szCs w:val="20"/>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12,853</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(9,359)</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3,494</w:t>
            </w:r>
          </w:p>
        </w:tc>
        <w:tc>
          <w:tcPr>
            <w:tcW w:w="0" w:type="dxa"/>
            <w:vAlign w:val="bottom"/>
          </w:tcPr>
          <w:p>
            <w:pPr>
              <w:spacing w:after="0"/>
              <w:rPr>
                <w:sz w:val="1"/>
                <w:szCs w:val="1"/>
                <w:color w:val="auto"/>
              </w:rPr>
            </w:pPr>
          </w:p>
        </w:tc>
      </w:tr>
      <w:tr>
        <w:trPr>
          <w:trHeight w:val="227"/>
        </w:trPr>
        <w:tc>
          <w:tcPr>
            <w:tcW w:w="70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Above-market lease values</w:t>
            </w:r>
          </w:p>
        </w:tc>
        <w:tc>
          <w:tcPr>
            <w:tcW w:w="1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7,324</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(7,262)</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62</w:t>
            </w:r>
          </w:p>
        </w:tc>
        <w:tc>
          <w:tcPr>
            <w:tcW w:w="0" w:type="dxa"/>
            <w:vAlign w:val="bottom"/>
          </w:tcPr>
          <w:p>
            <w:pPr>
              <w:spacing w:after="0"/>
              <w:rPr>
                <w:sz w:val="1"/>
                <w:szCs w:val="1"/>
                <w:color w:val="auto"/>
              </w:rPr>
            </w:pPr>
          </w:p>
        </w:tc>
      </w:tr>
      <w:tr>
        <w:trPr>
          <w:trHeight w:val="248"/>
        </w:trPr>
        <w:tc>
          <w:tcPr>
            <w:tcW w:w="7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41,342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(37,598)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3,744</w:t>
            </w:r>
          </w:p>
        </w:tc>
        <w:tc>
          <w:tcPr>
            <w:tcW w:w="0" w:type="dxa"/>
            <w:vAlign w:val="bottom"/>
          </w:tcPr>
          <w:p>
            <w:pPr>
              <w:spacing w:after="0"/>
              <w:rPr>
                <w:sz w:val="1"/>
                <w:szCs w:val="1"/>
                <w:color w:val="auto"/>
              </w:rPr>
            </w:pPr>
          </w:p>
        </w:tc>
      </w:tr>
      <w:tr>
        <w:trPr>
          <w:trHeight w:val="20"/>
        </w:trPr>
        <w:tc>
          <w:tcPr>
            <w:tcW w:w="70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7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2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1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708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44"/>
        </w:trPr>
        <w:tc>
          <w:tcPr>
            <w:tcW w:w="7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Carrying Amount</w:t>
            </w:r>
          </w:p>
        </w:tc>
        <w:tc>
          <w:tcPr>
            <w:tcW w:w="180" w:type="dxa"/>
            <w:vAlign w:val="bottom"/>
          </w:tcPr>
          <w:p>
            <w:pPr>
              <w:spacing w:after="0"/>
              <w:rPr>
                <w:sz w:val="12"/>
                <w:szCs w:val="12"/>
                <w:color w:val="auto"/>
              </w:rPr>
            </w:pPr>
          </w:p>
        </w:tc>
        <w:tc>
          <w:tcPr>
            <w:tcW w:w="1240" w:type="dxa"/>
            <w:vAlign w:val="bottom"/>
            <w:gridSpan w:val="2"/>
          </w:tcPr>
          <w:p>
            <w:pPr>
              <w:jc w:val="center"/>
              <w:ind w:right="280"/>
              <w:spacing w:after="0" w:line="145"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180" w:type="dxa"/>
            <w:vAlign w:val="bottom"/>
          </w:tcPr>
          <w:p>
            <w:pPr>
              <w:spacing w:after="0"/>
              <w:rPr>
                <w:sz w:val="12"/>
                <w:szCs w:val="12"/>
                <w:color w:val="auto"/>
              </w:rPr>
            </w:pPr>
          </w:p>
        </w:tc>
        <w:tc>
          <w:tcPr>
            <w:tcW w:w="1140" w:type="dxa"/>
            <w:vAlign w:val="bottom"/>
          </w:tcPr>
          <w:p>
            <w:pPr>
              <w:jc w:val="center"/>
              <w:ind w:right="122"/>
              <w:spacing w:after="0" w:line="145" w:lineRule="exact"/>
              <w:rPr>
                <w:sz w:val="20"/>
                <w:szCs w:val="20"/>
                <w:color w:val="auto"/>
              </w:rPr>
            </w:pPr>
            <w:r>
              <w:rPr>
                <w:rFonts w:ascii="Times New Roman" w:cs="Times New Roman" w:eastAsia="Times New Roman" w:hAnsi="Times New Roman"/>
                <w:sz w:val="14"/>
                <w:szCs w:val="14"/>
                <w:b w:val="1"/>
                <w:bCs w:val="1"/>
                <w:color w:val="auto"/>
              </w:rPr>
              <w:t>Net Carrying</w:t>
            </w:r>
          </w:p>
        </w:tc>
        <w:tc>
          <w:tcPr>
            <w:tcW w:w="0" w:type="dxa"/>
            <w:vAlign w:val="bottom"/>
          </w:tcPr>
          <w:p>
            <w:pPr>
              <w:spacing w:after="0"/>
              <w:rPr>
                <w:sz w:val="1"/>
                <w:szCs w:val="1"/>
                <w:color w:val="auto"/>
              </w:rPr>
            </w:pPr>
          </w:p>
        </w:tc>
      </w:tr>
      <w:tr>
        <w:trPr>
          <w:trHeight w:val="195"/>
        </w:trPr>
        <w:tc>
          <w:tcPr>
            <w:tcW w:w="7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2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24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180" w:type="dxa"/>
            <w:vAlign w:val="bottom"/>
          </w:tcPr>
          <w:p>
            <w:pPr>
              <w:spacing w:after="0"/>
              <w:rPr>
                <w:sz w:val="16"/>
                <w:szCs w:val="16"/>
                <w:color w:val="auto"/>
              </w:rPr>
            </w:pPr>
          </w:p>
        </w:tc>
        <w:tc>
          <w:tcPr>
            <w:tcW w:w="1140" w:type="dxa"/>
            <w:vAlign w:val="bottom"/>
          </w:tcPr>
          <w:p>
            <w:pPr>
              <w:jc w:val="center"/>
              <w:ind w:right="102"/>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0" w:type="dxa"/>
            <w:vAlign w:val="bottom"/>
          </w:tcPr>
          <w:p>
            <w:pPr>
              <w:spacing w:after="0"/>
              <w:rPr>
                <w:sz w:val="1"/>
                <w:szCs w:val="1"/>
                <w:color w:val="auto"/>
              </w:rPr>
            </w:pPr>
          </w:p>
        </w:tc>
      </w:tr>
      <w:tr>
        <w:trPr>
          <w:trHeight w:val="215"/>
        </w:trPr>
        <w:tc>
          <w:tcPr>
            <w:tcW w:w="70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Deferred Leasing Costs and Intangible Assets</w:t>
            </w:r>
          </w:p>
        </w:tc>
        <w:tc>
          <w:tcPr>
            <w:tcW w:w="10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70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In-place lease values</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52,028</w:t>
            </w:r>
          </w:p>
        </w:tc>
        <w:tc>
          <w:tcPr>
            <w:tcW w:w="100" w:type="dxa"/>
            <w:vAlign w:val="bottom"/>
          </w:tcPr>
          <w:p>
            <w:pPr>
              <w:spacing w:after="0"/>
              <w:rPr>
                <w:sz w:val="19"/>
                <w:szCs w:val="19"/>
                <w:color w:val="auto"/>
              </w:rPr>
            </w:pPr>
          </w:p>
        </w:tc>
        <w:tc>
          <w:tcPr>
            <w:tcW w:w="18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(32,762)</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19,266</w:t>
            </w:r>
          </w:p>
        </w:tc>
        <w:tc>
          <w:tcPr>
            <w:tcW w:w="0" w:type="dxa"/>
            <w:vAlign w:val="bottom"/>
          </w:tcPr>
          <w:p>
            <w:pPr>
              <w:spacing w:after="0"/>
              <w:rPr>
                <w:sz w:val="1"/>
                <w:szCs w:val="1"/>
                <w:color w:val="auto"/>
              </w:rPr>
            </w:pPr>
          </w:p>
        </w:tc>
      </w:tr>
      <w:tr>
        <w:trPr>
          <w:trHeight w:val="233"/>
        </w:trPr>
        <w:tc>
          <w:tcPr>
            <w:tcW w:w="7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Deferred leasing costs</w:t>
            </w:r>
          </w:p>
        </w:tc>
        <w:tc>
          <w:tcPr>
            <w:tcW w:w="100" w:type="dxa"/>
            <w:vAlign w:val="bottom"/>
            <w:shd w:val="clear" w:color="auto" w:fill="CCEEFF"/>
          </w:tcPr>
          <w:p>
            <w:pPr>
              <w:spacing w:after="0"/>
              <w:rPr>
                <w:sz w:val="20"/>
                <w:szCs w:val="20"/>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20,499</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(12,836)</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7,663</w:t>
            </w:r>
          </w:p>
        </w:tc>
        <w:tc>
          <w:tcPr>
            <w:tcW w:w="0" w:type="dxa"/>
            <w:vAlign w:val="bottom"/>
          </w:tcPr>
          <w:p>
            <w:pPr>
              <w:spacing w:after="0"/>
              <w:rPr>
                <w:sz w:val="1"/>
                <w:szCs w:val="1"/>
                <w:color w:val="auto"/>
              </w:rPr>
            </w:pPr>
          </w:p>
        </w:tc>
      </w:tr>
      <w:tr>
        <w:trPr>
          <w:trHeight w:val="227"/>
        </w:trPr>
        <w:tc>
          <w:tcPr>
            <w:tcW w:w="70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Above-market lease values</w:t>
            </w:r>
          </w:p>
        </w:tc>
        <w:tc>
          <w:tcPr>
            <w:tcW w:w="1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8,517</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(7,800)</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717</w:t>
            </w:r>
          </w:p>
        </w:tc>
        <w:tc>
          <w:tcPr>
            <w:tcW w:w="0" w:type="dxa"/>
            <w:vAlign w:val="bottom"/>
          </w:tcPr>
          <w:p>
            <w:pPr>
              <w:spacing w:after="0"/>
              <w:rPr>
                <w:sz w:val="1"/>
                <w:szCs w:val="1"/>
                <w:color w:val="auto"/>
              </w:rPr>
            </w:pPr>
          </w:p>
        </w:tc>
      </w:tr>
      <w:tr>
        <w:trPr>
          <w:trHeight w:val="248"/>
        </w:trPr>
        <w:tc>
          <w:tcPr>
            <w:tcW w:w="7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81,044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(53,398)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27,646</w:t>
            </w:r>
          </w:p>
        </w:tc>
        <w:tc>
          <w:tcPr>
            <w:tcW w:w="0" w:type="dxa"/>
            <w:vAlign w:val="bottom"/>
          </w:tcPr>
          <w:p>
            <w:pPr>
              <w:spacing w:after="0"/>
              <w:rPr>
                <w:sz w:val="1"/>
                <w:szCs w:val="1"/>
                <w:color w:val="auto"/>
              </w:rPr>
            </w:pPr>
          </w:p>
        </w:tc>
      </w:tr>
      <w:tr>
        <w:trPr>
          <w:trHeight w:val="20"/>
        </w:trPr>
        <w:tc>
          <w:tcPr>
            <w:tcW w:w="708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Intangible Liabilities</w:t>
            </w: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7080" w:type="dxa"/>
            <w:vAlign w:val="bottom"/>
            <w:tcBorders>
              <w:bottom w:val="single" w:sz="8" w:color="CCEEFF"/>
            </w:tcBorders>
            <w:vMerge w:val="continue"/>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51"/>
        </w:trPr>
        <w:tc>
          <w:tcPr>
            <w:tcW w:w="7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Below-market lease values</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389</w:t>
            </w:r>
          </w:p>
        </w:tc>
        <w:tc>
          <w:tcPr>
            <w:tcW w:w="0" w:type="dxa"/>
            <w:vAlign w:val="bottom"/>
          </w:tcPr>
          <w:p>
            <w:pPr>
              <w:spacing w:after="0"/>
              <w:rPr>
                <w:sz w:val="1"/>
                <w:szCs w:val="1"/>
                <w:color w:val="auto"/>
              </w:rPr>
            </w:pPr>
          </w:p>
        </w:tc>
      </w:tr>
      <w:tr>
        <w:trPr>
          <w:trHeight w:val="20"/>
        </w:trPr>
        <w:tc>
          <w:tcPr>
            <w:tcW w:w="70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amortization of deferred leasing costs, intangible assets and intangible liabilities for the three and nine months ended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September 30, 2026 and 2025 (dollars in thousands):</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280" w:type="dxa"/>
            <w:vAlign w:val="bottom"/>
          </w:tcPr>
          <w:p>
            <w:pPr>
              <w:spacing w:after="0"/>
              <w:rPr>
                <w:sz w:val="16"/>
                <w:szCs w:val="16"/>
                <w:color w:val="auto"/>
              </w:rPr>
            </w:pPr>
          </w:p>
        </w:tc>
        <w:tc>
          <w:tcPr>
            <w:tcW w:w="3040" w:type="dxa"/>
            <w:vAlign w:val="bottom"/>
            <w:gridSpan w:val="6"/>
          </w:tcPr>
          <w:p>
            <w:pPr>
              <w:ind w:left="36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240" w:type="dxa"/>
            <w:vAlign w:val="bottom"/>
          </w:tcPr>
          <w:p>
            <w:pPr>
              <w:spacing w:after="0"/>
              <w:rPr>
                <w:sz w:val="16"/>
                <w:szCs w:val="16"/>
                <w:color w:val="auto"/>
              </w:rPr>
            </w:pPr>
          </w:p>
        </w:tc>
        <w:tc>
          <w:tcPr>
            <w:tcW w:w="2680" w:type="dxa"/>
            <w:vAlign w:val="bottom"/>
            <w:gridSpan w:val="4"/>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23"/>
        </w:trPr>
        <w:tc>
          <w:tcPr>
            <w:tcW w:w="528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186"/>
        </w:trPr>
        <w:tc>
          <w:tcPr>
            <w:tcW w:w="5280" w:type="dxa"/>
            <w:vAlign w:val="bottom"/>
          </w:tcPr>
          <w:p>
            <w:pPr>
              <w:spacing w:after="0"/>
              <w:rPr>
                <w:sz w:val="16"/>
                <w:szCs w:val="16"/>
                <w:color w:val="auto"/>
              </w:rPr>
            </w:pPr>
          </w:p>
        </w:tc>
        <w:tc>
          <w:tcPr>
            <w:tcW w:w="980" w:type="dxa"/>
            <w:vAlign w:val="bottom"/>
          </w:tcPr>
          <w:p>
            <w:pPr>
              <w:jc w:val="right"/>
              <w:ind w:right="42"/>
              <w:spacing w:after="0"/>
              <w:rPr>
                <w:sz w:val="20"/>
                <w:szCs w:val="20"/>
                <w:color w:val="auto"/>
              </w:rPr>
            </w:pPr>
            <w:r>
              <w:rPr>
                <w:rFonts w:ascii="Times New Roman" w:cs="Times New Roman" w:eastAsia="Times New Roman" w:hAnsi="Times New Roman"/>
                <w:sz w:val="14"/>
                <w:szCs w:val="14"/>
                <w:b w:val="1"/>
                <w:bCs w:val="1"/>
                <w:color w:val="auto"/>
              </w:rPr>
              <w:t>2026</w:t>
            </w: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80" w:type="dxa"/>
            <w:vAlign w:val="bottom"/>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60" w:type="dxa"/>
            <w:vAlign w:val="bottom"/>
          </w:tcPr>
          <w:p>
            <w:pPr>
              <w:jc w:val="right"/>
              <w:ind w:right="481"/>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80" w:type="dxa"/>
            <w:vAlign w:val="bottom"/>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23"/>
        </w:trPr>
        <w:tc>
          <w:tcPr>
            <w:tcW w:w="528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23"/>
        </w:trPr>
        <w:tc>
          <w:tcPr>
            <w:tcW w:w="5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Above-market lease values</w:t>
            </w:r>
          </w:p>
        </w:tc>
        <w:tc>
          <w:tcPr>
            <w:tcW w:w="980" w:type="dxa"/>
            <w:vAlign w:val="bottom"/>
            <w:shd w:val="clear" w:color="auto" w:fill="CCEEFF"/>
          </w:tcPr>
          <w:p>
            <w:pPr>
              <w:jc w:val="right"/>
              <w:ind w:right="802"/>
              <w:spacing w:after="0"/>
              <w:rPr>
                <w:sz w:val="20"/>
                <w:szCs w:val="20"/>
                <w:color w:val="auto"/>
              </w:rPr>
            </w:pPr>
            <w:r>
              <w:rPr>
                <w:rFonts w:ascii="Times New Roman" w:cs="Times New Roman" w:eastAsia="Times New Roman" w:hAnsi="Times New Roman"/>
                <w:sz w:val="16"/>
                <w:szCs w:val="16"/>
                <w:color w:val="auto"/>
                <w:w w:val="99"/>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74"/>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(878)</w:t>
            </w:r>
          </w:p>
        </w:tc>
      </w:tr>
      <w:tr>
        <w:trPr>
          <w:trHeight w:val="226"/>
        </w:trPr>
        <w:tc>
          <w:tcPr>
            <w:tcW w:w="52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Below-market lease values</w:t>
            </w:r>
          </w:p>
        </w:tc>
        <w:tc>
          <w:tcPr>
            <w:tcW w:w="980" w:type="dxa"/>
            <w:vAlign w:val="bottom"/>
          </w:tcPr>
          <w:p>
            <w:pPr>
              <w:spacing w:after="0"/>
              <w:rPr>
                <w:sz w:val="19"/>
                <w:szCs w:val="19"/>
                <w:color w:val="auto"/>
              </w:rPr>
            </w:pPr>
          </w:p>
        </w:tc>
        <w:tc>
          <w:tcPr>
            <w:tcW w:w="5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639</w:t>
            </w:r>
          </w:p>
        </w:tc>
      </w:tr>
      <w:tr>
        <w:trPr>
          <w:trHeight w:val="251"/>
        </w:trPr>
        <w:tc>
          <w:tcPr>
            <w:tcW w:w="52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increase (decrease) to property operating income</w:t>
            </w:r>
          </w:p>
        </w:tc>
        <w:tc>
          <w:tcPr>
            <w:tcW w:w="980" w:type="dxa"/>
            <w:vAlign w:val="bottom"/>
            <w:tcBorders>
              <w:top w:val="single" w:sz="8" w:color="auto"/>
              <w:bottom w:val="single" w:sz="8" w:color="auto"/>
            </w:tcBorders>
            <w:shd w:val="clear" w:color="auto" w:fill="CCEEFF"/>
          </w:tcPr>
          <w:p>
            <w:pPr>
              <w:jc w:val="right"/>
              <w:ind w:right="802"/>
              <w:spacing w:after="0"/>
              <w:rPr>
                <w:sz w:val="20"/>
                <w:szCs w:val="20"/>
                <w:color w:val="auto"/>
              </w:rPr>
            </w:pPr>
            <w:r>
              <w:rPr>
                <w:rFonts w:ascii="Times New Roman" w:cs="Times New Roman" w:eastAsia="Times New Roman" w:hAnsi="Times New Roman"/>
                <w:sz w:val="16"/>
                <w:szCs w:val="16"/>
                <w:color w:val="auto"/>
                <w:w w:val="99"/>
              </w:rPr>
              <w:t>$</w:t>
            </w:r>
          </w:p>
        </w:tc>
        <w:tc>
          <w:tcPr>
            <w:tcW w:w="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74"/>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(239)</w:t>
            </w:r>
          </w:p>
        </w:tc>
      </w:tr>
      <w:tr>
        <w:trPr>
          <w:trHeight w:val="20"/>
        </w:trPr>
        <w:tc>
          <w:tcPr>
            <w:tcW w:w="528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r>
        <w:trPr>
          <w:trHeight w:val="203"/>
        </w:trPr>
        <w:tc>
          <w:tcPr>
            <w:tcW w:w="5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80" w:type="dxa"/>
            <w:vAlign w:val="bottom"/>
          </w:tcPr>
          <w:p>
            <w:pPr>
              <w:spacing w:after="0"/>
              <w:rPr>
                <w:sz w:val="17"/>
                <w:szCs w:val="17"/>
                <w:color w:val="auto"/>
              </w:rPr>
            </w:pPr>
          </w:p>
        </w:tc>
      </w:tr>
      <w:tr>
        <w:trPr>
          <w:trHeight w:val="230"/>
        </w:trPr>
        <w:tc>
          <w:tcPr>
            <w:tcW w:w="5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In-place lease values</w:t>
            </w:r>
          </w:p>
        </w:tc>
        <w:tc>
          <w:tcPr>
            <w:tcW w:w="980" w:type="dxa"/>
            <w:vAlign w:val="bottom"/>
            <w:shd w:val="clear" w:color="auto" w:fill="CCEEFF"/>
          </w:tcPr>
          <w:p>
            <w:pPr>
              <w:jc w:val="right"/>
              <w:ind w:right="802"/>
              <w:spacing w:after="0"/>
              <w:rPr>
                <w:sz w:val="20"/>
                <w:szCs w:val="20"/>
                <w:color w:val="auto"/>
              </w:rPr>
            </w:pPr>
            <w:r>
              <w:rPr>
                <w:rFonts w:ascii="Times New Roman" w:cs="Times New Roman" w:eastAsia="Times New Roman" w:hAnsi="Times New Roman"/>
                <w:sz w:val="16"/>
                <w:szCs w:val="16"/>
                <w:color w:val="auto"/>
                <w:w w:val="99"/>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978</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74"/>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5,044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6,376</w:t>
            </w:r>
          </w:p>
        </w:tc>
      </w:tr>
      <w:tr>
        <w:trPr>
          <w:trHeight w:val="226"/>
        </w:trPr>
        <w:tc>
          <w:tcPr>
            <w:tcW w:w="52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Deferred leasing costs</w:t>
            </w:r>
          </w:p>
        </w:tc>
        <w:tc>
          <w:tcPr>
            <w:tcW w:w="98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236</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429</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875</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1,665</w:t>
            </w:r>
          </w:p>
        </w:tc>
      </w:tr>
      <w:tr>
        <w:trPr>
          <w:trHeight w:val="251"/>
        </w:trPr>
        <w:tc>
          <w:tcPr>
            <w:tcW w:w="5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Amortization expense</w:t>
            </w:r>
          </w:p>
        </w:tc>
        <w:tc>
          <w:tcPr>
            <w:tcW w:w="980" w:type="dxa"/>
            <w:vAlign w:val="bottom"/>
            <w:tcBorders>
              <w:bottom w:val="single" w:sz="8" w:color="auto"/>
            </w:tcBorders>
            <w:shd w:val="clear" w:color="auto" w:fill="CCEEFF"/>
          </w:tcPr>
          <w:p>
            <w:pPr>
              <w:jc w:val="right"/>
              <w:ind w:right="802"/>
              <w:spacing w:after="0"/>
              <w:rPr>
                <w:sz w:val="20"/>
                <w:szCs w:val="20"/>
                <w:color w:val="auto"/>
              </w:rPr>
            </w:pPr>
            <w:r>
              <w:rPr>
                <w:rFonts w:ascii="Times New Roman" w:cs="Times New Roman" w:eastAsia="Times New Roman" w:hAnsi="Times New Roman"/>
                <w:sz w:val="16"/>
                <w:szCs w:val="16"/>
                <w:color w:val="auto"/>
                <w:w w:val="99"/>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1,407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74"/>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5,919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8,041</w:t>
            </w:r>
          </w:p>
        </w:tc>
      </w:tr>
      <w:tr>
        <w:trPr>
          <w:trHeight w:val="20"/>
        </w:trPr>
        <w:tc>
          <w:tcPr>
            <w:tcW w:w="528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30" w:name="page31"/>
    <w:bookmarkEnd w:id="3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BRIGHTSPIRE CAPITAL,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Restricted Cash, Other Assets and Accrued and Other Liabilities</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a summary of restricted cash as of September 30, 2026, and December 31, 2025 (dollars in thousands):</w:t>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64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8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September 30, 2026</w:t>
            </w:r>
          </w:p>
        </w:tc>
        <w:tc>
          <w:tcPr>
            <w:tcW w:w="200" w:type="dxa"/>
            <w:vAlign w:val="bottom"/>
          </w:tcPr>
          <w:p>
            <w:pPr>
              <w:spacing w:after="0"/>
              <w:rPr>
                <w:sz w:val="16"/>
                <w:szCs w:val="16"/>
                <w:color w:val="auto"/>
              </w:rPr>
            </w:pPr>
          </w:p>
        </w:tc>
        <w:tc>
          <w:tcPr>
            <w:tcW w:w="1560" w:type="dxa"/>
            <w:vAlign w:val="bottom"/>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December 31, 2025</w:t>
            </w:r>
          </w:p>
        </w:tc>
      </w:tr>
      <w:tr>
        <w:trPr>
          <w:trHeight w:val="23"/>
        </w:trPr>
        <w:tc>
          <w:tcPr>
            <w:tcW w:w="20" w:type="dxa"/>
            <w:vAlign w:val="bottom"/>
            <w:tcBorders>
              <w:bottom w:val="single" w:sz="8" w:color="CCEEFF"/>
            </w:tcBorders>
          </w:tcPr>
          <w:p>
            <w:pPr>
              <w:spacing w:after="0"/>
              <w:rPr>
                <w:sz w:val="2"/>
                <w:szCs w:val="2"/>
                <w:color w:val="auto"/>
              </w:rPr>
            </w:pPr>
          </w:p>
        </w:tc>
        <w:tc>
          <w:tcPr>
            <w:tcW w:w="1120" w:type="dxa"/>
            <w:vAlign w:val="bottom"/>
            <w:tcBorders>
              <w:bottom w:val="single" w:sz="8" w:color="CCEEFF"/>
            </w:tcBorders>
          </w:tcPr>
          <w:p>
            <w:pPr>
              <w:spacing w:after="0"/>
              <w:rPr>
                <w:sz w:val="2"/>
                <w:szCs w:val="2"/>
                <w:color w:val="auto"/>
              </w:rPr>
            </w:pPr>
          </w:p>
        </w:tc>
        <w:tc>
          <w:tcPr>
            <w:tcW w:w="64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189"/>
        </w:trPr>
        <w:tc>
          <w:tcPr>
            <w:tcW w:w="20" w:type="dxa"/>
            <w:vAlign w:val="bottom"/>
            <w:tcBorders>
              <w:bottom w:val="single" w:sz="8" w:color="CCEEFF"/>
            </w:tcBorders>
            <w:shd w:val="clear" w:color="auto" w:fill="CCEEFF"/>
          </w:tcPr>
          <w:p>
            <w:pPr>
              <w:spacing w:after="0"/>
              <w:rPr>
                <w:sz w:val="16"/>
                <w:szCs w:val="16"/>
                <w:color w:val="auto"/>
              </w:rPr>
            </w:pPr>
          </w:p>
        </w:tc>
        <w:tc>
          <w:tcPr>
            <w:tcW w:w="1120" w:type="dxa"/>
            <w:vAlign w:val="bottom"/>
            <w:tcBorders>
              <w:bottom w:val="single" w:sz="8" w:color="auto"/>
            </w:tcBorders>
            <w:shd w:val="clear" w:color="auto" w:fill="CCEEFF"/>
          </w:tcPr>
          <w:p>
            <w:pPr>
              <w:spacing w:after="0" w:line="169" w:lineRule="exact"/>
              <w:rPr>
                <w:sz w:val="20"/>
                <w:szCs w:val="20"/>
                <w:color w:val="auto"/>
              </w:rPr>
            </w:pPr>
            <w:r>
              <w:rPr>
                <w:rFonts w:ascii="Times New Roman" w:cs="Times New Roman" w:eastAsia="Times New Roman" w:hAnsi="Times New Roman"/>
                <w:sz w:val="16"/>
                <w:szCs w:val="16"/>
                <w:b w:val="1"/>
                <w:bCs w:val="1"/>
                <w:color w:val="auto"/>
              </w:rPr>
              <w:t>Restricted cash:</w:t>
            </w:r>
          </w:p>
        </w:tc>
        <w:tc>
          <w:tcPr>
            <w:tcW w:w="648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15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1560" w:type="dxa"/>
            <w:vAlign w:val="bottom"/>
            <w:tcBorders>
              <w:bottom w:val="single" w:sz="8" w:color="CCEEFF"/>
            </w:tcBorders>
            <w:shd w:val="clear" w:color="auto" w:fill="CCEEFF"/>
          </w:tcPr>
          <w:p>
            <w:pPr>
              <w:spacing w:after="0"/>
              <w:rPr>
                <w:sz w:val="16"/>
                <w:szCs w:val="16"/>
                <w:color w:val="auto"/>
              </w:rPr>
            </w:pPr>
          </w:p>
        </w:tc>
      </w:tr>
      <w:tr>
        <w:trPr>
          <w:trHeight w:val="227"/>
        </w:trPr>
        <w:tc>
          <w:tcPr>
            <w:tcW w:w="20" w:type="dxa"/>
            <w:vAlign w:val="bottom"/>
          </w:tcPr>
          <w:p>
            <w:pPr>
              <w:spacing w:after="0"/>
              <w:rPr>
                <w:sz w:val="19"/>
                <w:szCs w:val="19"/>
                <w:color w:val="auto"/>
              </w:rPr>
            </w:pPr>
          </w:p>
        </w:tc>
        <w:tc>
          <w:tcPr>
            <w:tcW w:w="76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Borrower escrow deposits</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88,139</w:t>
            </w:r>
          </w:p>
        </w:tc>
        <w:tc>
          <w:tcPr>
            <w:tcW w:w="100" w:type="dxa"/>
            <w:vAlign w:val="bottom"/>
          </w:tcPr>
          <w:p>
            <w:pPr>
              <w:spacing w:after="0"/>
              <w:rPr>
                <w:sz w:val="19"/>
                <w:szCs w:val="19"/>
                <w:color w:val="auto"/>
              </w:rPr>
            </w:pP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82,511</w:t>
            </w:r>
          </w:p>
        </w:tc>
      </w:tr>
      <w:tr>
        <w:trPr>
          <w:trHeight w:val="232"/>
        </w:trPr>
        <w:tc>
          <w:tcPr>
            <w:tcW w:w="20" w:type="dxa"/>
            <w:vAlign w:val="bottom"/>
            <w:shd w:val="clear" w:color="auto" w:fill="CCEEFF"/>
          </w:tcPr>
          <w:p>
            <w:pPr>
              <w:spacing w:after="0"/>
              <w:rPr>
                <w:sz w:val="20"/>
                <w:szCs w:val="20"/>
                <w:color w:val="auto"/>
              </w:rPr>
            </w:pPr>
          </w:p>
        </w:tc>
        <w:tc>
          <w:tcPr>
            <w:tcW w:w="7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Capital expenditure reserves</w:t>
            </w:r>
          </w:p>
        </w:tc>
        <w:tc>
          <w:tcPr>
            <w:tcW w:w="180" w:type="dxa"/>
            <w:vAlign w:val="bottom"/>
            <w:shd w:val="clear" w:color="auto" w:fill="CCEEFF"/>
          </w:tcPr>
          <w:p>
            <w:pPr>
              <w:spacing w:after="0"/>
              <w:rPr>
                <w:sz w:val="20"/>
                <w:szCs w:val="20"/>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9,915</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7,668</w:t>
            </w:r>
          </w:p>
        </w:tc>
      </w:tr>
      <w:tr>
        <w:trPr>
          <w:trHeight w:val="227"/>
        </w:trPr>
        <w:tc>
          <w:tcPr>
            <w:tcW w:w="20" w:type="dxa"/>
            <w:vAlign w:val="bottom"/>
          </w:tcPr>
          <w:p>
            <w:pPr>
              <w:spacing w:after="0"/>
              <w:rPr>
                <w:sz w:val="19"/>
                <w:szCs w:val="19"/>
                <w:color w:val="auto"/>
              </w:rPr>
            </w:pPr>
          </w:p>
        </w:tc>
        <w:tc>
          <w:tcPr>
            <w:tcW w:w="76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Real estate escrow reserves</w:t>
            </w:r>
          </w:p>
        </w:tc>
        <w:tc>
          <w:tcPr>
            <w:tcW w:w="18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7,356</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8,288</w:t>
            </w:r>
          </w:p>
        </w:tc>
      </w:tr>
      <w:tr>
        <w:trPr>
          <w:trHeight w:val="233"/>
        </w:trPr>
        <w:tc>
          <w:tcPr>
            <w:tcW w:w="20" w:type="dxa"/>
            <w:vAlign w:val="bottom"/>
            <w:shd w:val="clear" w:color="auto" w:fill="CCEEFF"/>
          </w:tcPr>
          <w:p>
            <w:pPr>
              <w:spacing w:after="0"/>
              <w:rPr>
                <w:sz w:val="20"/>
                <w:szCs w:val="20"/>
                <w:color w:val="auto"/>
              </w:rPr>
            </w:pPr>
          </w:p>
        </w:tc>
        <w:tc>
          <w:tcPr>
            <w:tcW w:w="7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Working capital and other reserves</w:t>
            </w:r>
          </w:p>
        </w:tc>
        <w:tc>
          <w:tcPr>
            <w:tcW w:w="180" w:type="dxa"/>
            <w:vAlign w:val="bottom"/>
            <w:shd w:val="clear" w:color="auto" w:fill="CCEEFF"/>
          </w:tcPr>
          <w:p>
            <w:pPr>
              <w:spacing w:after="0"/>
              <w:rPr>
                <w:sz w:val="20"/>
                <w:szCs w:val="20"/>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6,617</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6,637</w:t>
            </w:r>
          </w:p>
        </w:tc>
      </w:tr>
      <w:tr>
        <w:trPr>
          <w:trHeight w:val="227"/>
        </w:trPr>
        <w:tc>
          <w:tcPr>
            <w:tcW w:w="20" w:type="dxa"/>
            <w:vAlign w:val="bottom"/>
            <w:tcBorders>
              <w:bottom w:val="single" w:sz="8" w:color="CCEEFF"/>
            </w:tcBorders>
          </w:tcPr>
          <w:p>
            <w:pPr>
              <w:spacing w:after="0"/>
              <w:rPr>
                <w:sz w:val="19"/>
                <w:szCs w:val="19"/>
                <w:color w:val="auto"/>
              </w:rPr>
            </w:pPr>
          </w:p>
        </w:tc>
        <w:tc>
          <w:tcPr>
            <w:tcW w:w="760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6"/>
                <w:szCs w:val="16"/>
                <w:color w:val="auto"/>
              </w:rPr>
              <w:t>Tenant lockboxes</w:t>
            </w:r>
          </w:p>
        </w:tc>
        <w:tc>
          <w:tcPr>
            <w:tcW w:w="18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1,969</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1,942</w:t>
            </w:r>
          </w:p>
        </w:tc>
      </w:tr>
      <w:tr>
        <w:trPr>
          <w:trHeight w:val="251"/>
        </w:trPr>
        <w:tc>
          <w:tcPr>
            <w:tcW w:w="20" w:type="dxa"/>
            <w:vAlign w:val="bottom"/>
            <w:tcBorders>
              <w:bottom w:val="single" w:sz="8" w:color="CCEEFF"/>
            </w:tcBorders>
            <w:shd w:val="clear" w:color="auto" w:fill="CCEEFF"/>
          </w:tcPr>
          <w:p>
            <w:pPr>
              <w:spacing w:after="0"/>
              <w:rPr>
                <w:sz w:val="21"/>
                <w:szCs w:val="21"/>
                <w:color w:val="auto"/>
              </w:rPr>
            </w:pPr>
          </w:p>
        </w:tc>
        <w:tc>
          <w:tcPr>
            <w:tcW w:w="76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Total</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113,996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107,046</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64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r>
    </w:tbl>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a summary of other assets as of September 30, 2026, and December 31, 2025 (dollars in thousands):</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66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8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September 30, 2026</w:t>
            </w:r>
          </w:p>
        </w:tc>
        <w:tc>
          <w:tcPr>
            <w:tcW w:w="200" w:type="dxa"/>
            <w:vAlign w:val="bottom"/>
          </w:tcPr>
          <w:p>
            <w:pPr>
              <w:spacing w:after="0"/>
              <w:rPr>
                <w:sz w:val="16"/>
                <w:szCs w:val="16"/>
                <w:color w:val="auto"/>
              </w:rPr>
            </w:pPr>
          </w:p>
        </w:tc>
        <w:tc>
          <w:tcPr>
            <w:tcW w:w="1560" w:type="dxa"/>
            <w:vAlign w:val="bottom"/>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December 31, 2025</w:t>
            </w:r>
          </w:p>
        </w:tc>
      </w:tr>
      <w:tr>
        <w:trPr>
          <w:trHeight w:val="23"/>
        </w:trPr>
        <w:tc>
          <w:tcPr>
            <w:tcW w:w="20" w:type="dxa"/>
            <w:vAlign w:val="bottom"/>
            <w:tcBorders>
              <w:bottom w:val="single" w:sz="8" w:color="CCEEFF"/>
            </w:tcBorders>
          </w:tcPr>
          <w:p>
            <w:pPr>
              <w:spacing w:after="0"/>
              <w:rPr>
                <w:sz w:val="2"/>
                <w:szCs w:val="2"/>
                <w:color w:val="auto"/>
              </w:rPr>
            </w:pPr>
          </w:p>
        </w:tc>
        <w:tc>
          <w:tcPr>
            <w:tcW w:w="920" w:type="dxa"/>
            <w:vAlign w:val="bottom"/>
            <w:tcBorders>
              <w:bottom w:val="single" w:sz="8" w:color="CCEEFF"/>
            </w:tcBorders>
          </w:tcPr>
          <w:p>
            <w:pPr>
              <w:spacing w:after="0"/>
              <w:rPr>
                <w:sz w:val="2"/>
                <w:szCs w:val="2"/>
                <w:color w:val="auto"/>
              </w:rPr>
            </w:pPr>
          </w:p>
        </w:tc>
        <w:tc>
          <w:tcPr>
            <w:tcW w:w="66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190"/>
        </w:trPr>
        <w:tc>
          <w:tcPr>
            <w:tcW w:w="20" w:type="dxa"/>
            <w:vAlign w:val="bottom"/>
            <w:tcBorders>
              <w:bottom w:val="single" w:sz="8" w:color="CCEEFF"/>
            </w:tcBorders>
            <w:shd w:val="clear" w:color="auto" w:fill="CCEEFF"/>
          </w:tcPr>
          <w:p>
            <w:pPr>
              <w:spacing w:after="0"/>
              <w:rPr>
                <w:sz w:val="16"/>
                <w:szCs w:val="16"/>
                <w:color w:val="auto"/>
              </w:rPr>
            </w:pPr>
          </w:p>
        </w:tc>
        <w:tc>
          <w:tcPr>
            <w:tcW w:w="920" w:type="dxa"/>
            <w:vAlign w:val="bottom"/>
            <w:tcBorders>
              <w:bottom w:val="single" w:sz="8" w:color="auto"/>
            </w:tcBorders>
            <w:shd w:val="clear" w:color="auto" w:fill="CCEEFF"/>
          </w:tcPr>
          <w:p>
            <w:pPr>
              <w:spacing w:after="0" w:line="169" w:lineRule="exact"/>
              <w:rPr>
                <w:sz w:val="20"/>
                <w:szCs w:val="20"/>
                <w:color w:val="auto"/>
              </w:rPr>
            </w:pPr>
            <w:r>
              <w:rPr>
                <w:rFonts w:ascii="Times New Roman" w:cs="Times New Roman" w:eastAsia="Times New Roman" w:hAnsi="Times New Roman"/>
                <w:sz w:val="16"/>
                <w:szCs w:val="16"/>
                <w:b w:val="1"/>
                <w:bCs w:val="1"/>
                <w:color w:val="auto"/>
              </w:rPr>
              <w:t>Other assets:</w:t>
            </w:r>
          </w:p>
        </w:tc>
        <w:tc>
          <w:tcPr>
            <w:tcW w:w="668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15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1560" w:type="dxa"/>
            <w:vAlign w:val="bottom"/>
            <w:tcBorders>
              <w:bottom w:val="single" w:sz="8" w:color="CCEEFF"/>
            </w:tcBorders>
            <w:shd w:val="clear" w:color="auto" w:fill="CCEEFF"/>
          </w:tcPr>
          <w:p>
            <w:pPr>
              <w:spacing w:after="0"/>
              <w:rPr>
                <w:sz w:val="16"/>
                <w:szCs w:val="16"/>
                <w:color w:val="auto"/>
              </w:rPr>
            </w:pPr>
          </w:p>
        </w:tc>
      </w:tr>
      <w:tr>
        <w:trPr>
          <w:trHeight w:val="227"/>
        </w:trPr>
        <w:tc>
          <w:tcPr>
            <w:tcW w:w="20" w:type="dxa"/>
            <w:vAlign w:val="bottom"/>
          </w:tcPr>
          <w:p>
            <w:pPr>
              <w:spacing w:after="0"/>
              <w:rPr>
                <w:sz w:val="19"/>
                <w:szCs w:val="19"/>
                <w:color w:val="auto"/>
              </w:rPr>
            </w:pPr>
          </w:p>
        </w:tc>
        <w:tc>
          <w:tcPr>
            <w:tcW w:w="76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Right-of-use lease asset</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11,698</w:t>
            </w:r>
          </w:p>
        </w:tc>
        <w:tc>
          <w:tcPr>
            <w:tcW w:w="100" w:type="dxa"/>
            <w:vAlign w:val="bottom"/>
          </w:tcPr>
          <w:p>
            <w:pPr>
              <w:spacing w:after="0"/>
              <w:rPr>
                <w:sz w:val="19"/>
                <w:szCs w:val="19"/>
                <w:color w:val="auto"/>
              </w:rPr>
            </w:pP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19,833</w:t>
            </w:r>
          </w:p>
        </w:tc>
      </w:tr>
      <w:tr>
        <w:trPr>
          <w:trHeight w:val="232"/>
        </w:trPr>
        <w:tc>
          <w:tcPr>
            <w:tcW w:w="20" w:type="dxa"/>
            <w:vAlign w:val="bottom"/>
            <w:shd w:val="clear" w:color="auto" w:fill="CCEEFF"/>
          </w:tcPr>
          <w:p>
            <w:pPr>
              <w:spacing w:after="0"/>
              <w:rPr>
                <w:sz w:val="20"/>
                <w:szCs w:val="20"/>
                <w:color w:val="auto"/>
              </w:rPr>
            </w:pPr>
          </w:p>
        </w:tc>
        <w:tc>
          <w:tcPr>
            <w:tcW w:w="7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Deferred financing costs, net - credit facilities</w:t>
            </w:r>
          </w:p>
        </w:tc>
        <w:tc>
          <w:tcPr>
            <w:tcW w:w="180" w:type="dxa"/>
            <w:vAlign w:val="bottom"/>
            <w:shd w:val="clear" w:color="auto" w:fill="CCEEFF"/>
          </w:tcPr>
          <w:p>
            <w:pPr>
              <w:spacing w:after="0"/>
              <w:rPr>
                <w:sz w:val="20"/>
                <w:szCs w:val="20"/>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5,518</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5,716</w:t>
            </w:r>
          </w:p>
        </w:tc>
      </w:tr>
      <w:tr>
        <w:trPr>
          <w:trHeight w:val="227"/>
        </w:trPr>
        <w:tc>
          <w:tcPr>
            <w:tcW w:w="20" w:type="dxa"/>
            <w:vAlign w:val="bottom"/>
          </w:tcPr>
          <w:p>
            <w:pPr>
              <w:spacing w:after="0"/>
              <w:rPr>
                <w:sz w:val="19"/>
                <w:szCs w:val="19"/>
                <w:color w:val="auto"/>
              </w:rPr>
            </w:pPr>
          </w:p>
        </w:tc>
        <w:tc>
          <w:tcPr>
            <w:tcW w:w="76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Prepaid expenses and other</w:t>
            </w:r>
          </w:p>
        </w:tc>
        <w:tc>
          <w:tcPr>
            <w:tcW w:w="18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5,146</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7,154</w:t>
            </w:r>
          </w:p>
        </w:tc>
      </w:tr>
      <w:tr>
        <w:trPr>
          <w:trHeight w:val="233"/>
        </w:trPr>
        <w:tc>
          <w:tcPr>
            <w:tcW w:w="20" w:type="dxa"/>
            <w:vAlign w:val="bottom"/>
            <w:shd w:val="clear" w:color="auto" w:fill="CCEEFF"/>
          </w:tcPr>
          <w:p>
            <w:pPr>
              <w:spacing w:after="0"/>
              <w:rPr>
                <w:sz w:val="20"/>
                <w:szCs w:val="20"/>
                <w:color w:val="auto"/>
              </w:rPr>
            </w:pPr>
          </w:p>
        </w:tc>
        <w:tc>
          <w:tcPr>
            <w:tcW w:w="7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Tax receivable and deferred tax assets</w:t>
            </w:r>
          </w:p>
        </w:tc>
        <w:tc>
          <w:tcPr>
            <w:tcW w:w="180" w:type="dxa"/>
            <w:vAlign w:val="bottom"/>
            <w:shd w:val="clear" w:color="auto" w:fill="CCEEFF"/>
          </w:tcPr>
          <w:p>
            <w:pPr>
              <w:spacing w:after="0"/>
              <w:rPr>
                <w:sz w:val="20"/>
                <w:szCs w:val="20"/>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1,889</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12,247</w:t>
            </w:r>
          </w:p>
        </w:tc>
      </w:tr>
      <w:tr>
        <w:trPr>
          <w:trHeight w:val="227"/>
        </w:trPr>
        <w:tc>
          <w:tcPr>
            <w:tcW w:w="20" w:type="dxa"/>
            <w:vAlign w:val="bottom"/>
            <w:tcBorders>
              <w:bottom w:val="single" w:sz="8" w:color="CCEEFF"/>
            </w:tcBorders>
          </w:tcPr>
          <w:p>
            <w:pPr>
              <w:spacing w:after="0"/>
              <w:rPr>
                <w:sz w:val="19"/>
                <w:szCs w:val="19"/>
                <w:color w:val="auto"/>
              </w:rPr>
            </w:pPr>
          </w:p>
        </w:tc>
        <w:tc>
          <w:tcPr>
            <w:tcW w:w="760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6"/>
                <w:szCs w:val="16"/>
                <w:color w:val="auto"/>
              </w:rPr>
              <w:t>Investments in unconsolidated ventures at fair value</w:t>
            </w:r>
          </w:p>
        </w:tc>
        <w:tc>
          <w:tcPr>
            <w:tcW w:w="18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1,423</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2,115</w:t>
            </w:r>
          </w:p>
        </w:tc>
      </w:tr>
      <w:tr>
        <w:trPr>
          <w:trHeight w:val="251"/>
        </w:trPr>
        <w:tc>
          <w:tcPr>
            <w:tcW w:w="20" w:type="dxa"/>
            <w:vAlign w:val="bottom"/>
            <w:tcBorders>
              <w:bottom w:val="single" w:sz="8" w:color="CCEEFF"/>
            </w:tcBorders>
            <w:shd w:val="clear" w:color="auto" w:fill="CCEEFF"/>
          </w:tcPr>
          <w:p>
            <w:pPr>
              <w:spacing w:after="0"/>
              <w:rPr>
                <w:sz w:val="21"/>
                <w:szCs w:val="21"/>
                <w:color w:val="auto"/>
              </w:rPr>
            </w:pPr>
          </w:p>
        </w:tc>
        <w:tc>
          <w:tcPr>
            <w:tcW w:w="76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Total</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25,674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47,065</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66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r>
    </w:tbl>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a summary of accrued and other liabilities as of September 30, 2026 and December 31, 2025 (dollars in thousands):</w:t>
      </w:r>
    </w:p>
    <w:p>
      <w:pPr>
        <w:spacing w:after="0" w:line="8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0" w:type="dxa"/>
            <w:vAlign w:val="bottom"/>
          </w:tcPr>
          <w:p>
            <w:pPr>
              <w:spacing w:after="0"/>
              <w:rPr>
                <w:sz w:val="16"/>
                <w:szCs w:val="16"/>
                <w:color w:val="auto"/>
              </w:rPr>
            </w:pPr>
          </w:p>
        </w:tc>
        <w:tc>
          <w:tcPr>
            <w:tcW w:w="2020" w:type="dxa"/>
            <w:vAlign w:val="bottom"/>
          </w:tcPr>
          <w:p>
            <w:pPr>
              <w:spacing w:after="0"/>
              <w:rPr>
                <w:sz w:val="16"/>
                <w:szCs w:val="16"/>
                <w:color w:val="auto"/>
              </w:rPr>
            </w:pPr>
          </w:p>
        </w:tc>
        <w:tc>
          <w:tcPr>
            <w:tcW w:w="55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8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September 30, 2026</w:t>
            </w:r>
          </w:p>
        </w:tc>
        <w:tc>
          <w:tcPr>
            <w:tcW w:w="200" w:type="dxa"/>
            <w:vAlign w:val="bottom"/>
          </w:tcPr>
          <w:p>
            <w:pPr>
              <w:spacing w:after="0"/>
              <w:rPr>
                <w:sz w:val="16"/>
                <w:szCs w:val="16"/>
                <w:color w:val="auto"/>
              </w:rPr>
            </w:pPr>
          </w:p>
        </w:tc>
        <w:tc>
          <w:tcPr>
            <w:tcW w:w="1560" w:type="dxa"/>
            <w:vAlign w:val="bottom"/>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December 31, 2025</w:t>
            </w:r>
          </w:p>
        </w:tc>
      </w:tr>
      <w:tr>
        <w:trPr>
          <w:trHeight w:val="23"/>
        </w:trPr>
        <w:tc>
          <w:tcPr>
            <w:tcW w:w="20" w:type="dxa"/>
            <w:vAlign w:val="bottom"/>
            <w:tcBorders>
              <w:bottom w:val="single" w:sz="8" w:color="CCEEFF"/>
            </w:tcBorders>
          </w:tcPr>
          <w:p>
            <w:pPr>
              <w:spacing w:after="0"/>
              <w:rPr>
                <w:sz w:val="2"/>
                <w:szCs w:val="2"/>
                <w:color w:val="auto"/>
              </w:rPr>
            </w:pPr>
          </w:p>
        </w:tc>
        <w:tc>
          <w:tcPr>
            <w:tcW w:w="2020" w:type="dxa"/>
            <w:vAlign w:val="bottom"/>
            <w:tcBorders>
              <w:bottom w:val="single" w:sz="8" w:color="CCEEFF"/>
            </w:tcBorders>
          </w:tcPr>
          <w:p>
            <w:pPr>
              <w:spacing w:after="0"/>
              <w:rPr>
                <w:sz w:val="2"/>
                <w:szCs w:val="2"/>
                <w:color w:val="auto"/>
              </w:rPr>
            </w:pPr>
          </w:p>
        </w:tc>
        <w:tc>
          <w:tcPr>
            <w:tcW w:w="55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169"/>
        </w:trPr>
        <w:tc>
          <w:tcPr>
            <w:tcW w:w="20" w:type="dxa"/>
            <w:vAlign w:val="bottom"/>
            <w:shd w:val="clear" w:color="auto" w:fill="CCEEFF"/>
          </w:tcPr>
          <w:p>
            <w:pPr>
              <w:spacing w:after="0"/>
              <w:rPr>
                <w:sz w:val="14"/>
                <w:szCs w:val="14"/>
                <w:color w:val="auto"/>
              </w:rPr>
            </w:pPr>
          </w:p>
        </w:tc>
        <w:tc>
          <w:tcPr>
            <w:tcW w:w="7600" w:type="dxa"/>
            <w:vAlign w:val="bottom"/>
            <w:gridSpan w:val="2"/>
            <w:shd w:val="clear" w:color="auto" w:fill="CCEEFF"/>
          </w:tcPr>
          <w:p>
            <w:pPr>
              <w:spacing w:after="0" w:line="169" w:lineRule="exact"/>
              <w:rPr>
                <w:sz w:val="20"/>
                <w:szCs w:val="20"/>
                <w:color w:val="auto"/>
              </w:rPr>
            </w:pPr>
            <w:r>
              <w:rPr>
                <w:rFonts w:ascii="Times New Roman" w:cs="Times New Roman" w:eastAsia="Times New Roman" w:hAnsi="Times New Roman"/>
                <w:sz w:val="16"/>
                <w:szCs w:val="16"/>
                <w:b w:val="1"/>
                <w:bCs w:val="1"/>
                <w:color w:val="auto"/>
              </w:rPr>
              <w:t>Accrued and other liabilities:</w:t>
            </w:r>
          </w:p>
        </w:tc>
        <w:tc>
          <w:tcPr>
            <w:tcW w:w="180" w:type="dxa"/>
            <w:vAlign w:val="bottom"/>
            <w:shd w:val="clear" w:color="auto" w:fill="CCEEFF"/>
          </w:tcPr>
          <w:p>
            <w:pPr>
              <w:spacing w:after="0"/>
              <w:rPr>
                <w:sz w:val="14"/>
                <w:szCs w:val="14"/>
                <w:color w:val="auto"/>
              </w:rPr>
            </w:pPr>
          </w:p>
        </w:tc>
        <w:tc>
          <w:tcPr>
            <w:tcW w:w="15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560" w:type="dxa"/>
            <w:vAlign w:val="bottom"/>
            <w:shd w:val="clear" w:color="auto" w:fill="CCEEFF"/>
          </w:tcPr>
          <w:p>
            <w:pPr>
              <w:spacing w:after="0"/>
              <w:rPr>
                <w:sz w:val="14"/>
                <w:szCs w:val="14"/>
                <w:color w:val="auto"/>
              </w:rPr>
            </w:pP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2020" w:type="dxa"/>
            <w:vAlign w:val="bottom"/>
            <w:tcBorders>
              <w:top w:val="single" w:sz="8" w:color="auto"/>
            </w:tcBorders>
            <w:shd w:val="clear" w:color="auto" w:fill="CCEEFF"/>
          </w:tcPr>
          <w:p>
            <w:pPr>
              <w:spacing w:after="0" w:line="20" w:lineRule="exact"/>
              <w:rPr>
                <w:sz w:val="1"/>
                <w:szCs w:val="1"/>
                <w:color w:val="auto"/>
              </w:rPr>
            </w:pPr>
          </w:p>
        </w:tc>
        <w:tc>
          <w:tcPr>
            <w:tcW w:w="55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5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560" w:type="dxa"/>
            <w:vAlign w:val="bottom"/>
            <w:tcBorders>
              <w:top w:val="single" w:sz="8" w:color="CCEEFF"/>
            </w:tcBorders>
            <w:shd w:val="clear" w:color="auto" w:fill="CCEEFF"/>
          </w:tcPr>
          <w:p>
            <w:pPr>
              <w:spacing w:after="0" w:line="20" w:lineRule="exact"/>
              <w:rPr>
                <w:sz w:val="1"/>
                <w:szCs w:val="1"/>
                <w:color w:val="auto"/>
              </w:rPr>
            </w:pPr>
          </w:p>
        </w:tc>
      </w:tr>
      <w:tr>
        <w:trPr>
          <w:trHeight w:val="227"/>
        </w:trPr>
        <w:tc>
          <w:tcPr>
            <w:tcW w:w="20" w:type="dxa"/>
            <w:vAlign w:val="bottom"/>
          </w:tcPr>
          <w:p>
            <w:pPr>
              <w:spacing w:after="0"/>
              <w:rPr>
                <w:sz w:val="19"/>
                <w:szCs w:val="19"/>
                <w:color w:val="auto"/>
              </w:rPr>
            </w:pPr>
          </w:p>
        </w:tc>
        <w:tc>
          <w:tcPr>
            <w:tcW w:w="76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Accounts payable, accrued expenses and other liabilities</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29,240</w:t>
            </w:r>
          </w:p>
        </w:tc>
        <w:tc>
          <w:tcPr>
            <w:tcW w:w="100" w:type="dxa"/>
            <w:vAlign w:val="bottom"/>
          </w:tcPr>
          <w:p>
            <w:pPr>
              <w:spacing w:after="0"/>
              <w:rPr>
                <w:sz w:val="19"/>
                <w:szCs w:val="19"/>
                <w:color w:val="auto"/>
              </w:rPr>
            </w:pP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25,962</w:t>
            </w:r>
          </w:p>
        </w:tc>
      </w:tr>
      <w:tr>
        <w:trPr>
          <w:trHeight w:val="232"/>
        </w:trPr>
        <w:tc>
          <w:tcPr>
            <w:tcW w:w="20" w:type="dxa"/>
            <w:vAlign w:val="bottom"/>
            <w:shd w:val="clear" w:color="auto" w:fill="CCEEFF"/>
          </w:tcPr>
          <w:p>
            <w:pPr>
              <w:spacing w:after="0"/>
              <w:rPr>
                <w:sz w:val="20"/>
                <w:szCs w:val="20"/>
                <w:color w:val="auto"/>
              </w:rPr>
            </w:pPr>
          </w:p>
        </w:tc>
        <w:tc>
          <w:tcPr>
            <w:tcW w:w="7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Operating lease liability</w:t>
            </w:r>
          </w:p>
        </w:tc>
        <w:tc>
          <w:tcPr>
            <w:tcW w:w="180" w:type="dxa"/>
            <w:vAlign w:val="bottom"/>
            <w:shd w:val="clear" w:color="auto" w:fill="CCEEFF"/>
          </w:tcPr>
          <w:p>
            <w:pPr>
              <w:spacing w:after="0"/>
              <w:rPr>
                <w:sz w:val="20"/>
                <w:szCs w:val="20"/>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12,121</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20,703</w:t>
            </w:r>
          </w:p>
        </w:tc>
      </w:tr>
      <w:tr>
        <w:trPr>
          <w:trHeight w:val="227"/>
        </w:trPr>
        <w:tc>
          <w:tcPr>
            <w:tcW w:w="20" w:type="dxa"/>
            <w:vAlign w:val="bottom"/>
          </w:tcPr>
          <w:p>
            <w:pPr>
              <w:spacing w:after="0"/>
              <w:rPr>
                <w:sz w:val="19"/>
                <w:szCs w:val="19"/>
                <w:color w:val="auto"/>
              </w:rPr>
            </w:pPr>
          </w:p>
        </w:tc>
        <w:tc>
          <w:tcPr>
            <w:tcW w:w="76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Prepaid rent and unearned revenue</w:t>
            </w:r>
          </w:p>
        </w:tc>
        <w:tc>
          <w:tcPr>
            <w:tcW w:w="18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5,948</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9,664</w:t>
            </w:r>
          </w:p>
        </w:tc>
      </w:tr>
      <w:tr>
        <w:trPr>
          <w:trHeight w:val="233"/>
        </w:trPr>
        <w:tc>
          <w:tcPr>
            <w:tcW w:w="20" w:type="dxa"/>
            <w:vAlign w:val="bottom"/>
            <w:shd w:val="clear" w:color="auto" w:fill="CCEEFF"/>
          </w:tcPr>
          <w:p>
            <w:pPr>
              <w:spacing w:after="0"/>
              <w:rPr>
                <w:sz w:val="20"/>
                <w:szCs w:val="20"/>
                <w:color w:val="auto"/>
              </w:rPr>
            </w:pPr>
          </w:p>
        </w:tc>
        <w:tc>
          <w:tcPr>
            <w:tcW w:w="7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Interest payable</w:t>
            </w:r>
          </w:p>
        </w:tc>
        <w:tc>
          <w:tcPr>
            <w:tcW w:w="180" w:type="dxa"/>
            <w:vAlign w:val="bottom"/>
            <w:shd w:val="clear" w:color="auto" w:fill="CCEEFF"/>
          </w:tcPr>
          <w:p>
            <w:pPr>
              <w:spacing w:after="0"/>
              <w:rPr>
                <w:sz w:val="20"/>
                <w:szCs w:val="20"/>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5,456</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6,239</w:t>
            </w:r>
          </w:p>
        </w:tc>
      </w:tr>
      <w:tr>
        <w:trPr>
          <w:trHeight w:val="226"/>
        </w:trPr>
        <w:tc>
          <w:tcPr>
            <w:tcW w:w="20" w:type="dxa"/>
            <w:vAlign w:val="bottom"/>
          </w:tcPr>
          <w:p>
            <w:pPr>
              <w:spacing w:after="0"/>
              <w:rPr>
                <w:sz w:val="19"/>
                <w:szCs w:val="19"/>
                <w:color w:val="auto"/>
              </w:rPr>
            </w:pPr>
          </w:p>
        </w:tc>
        <w:tc>
          <w:tcPr>
            <w:tcW w:w="76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Unfunded CECL loan allowance</w:t>
            </w:r>
          </w:p>
        </w:tc>
        <w:tc>
          <w:tcPr>
            <w:tcW w:w="18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927</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669</w:t>
            </w:r>
          </w:p>
        </w:tc>
      </w:tr>
      <w:tr>
        <w:trPr>
          <w:trHeight w:val="230"/>
        </w:trPr>
        <w:tc>
          <w:tcPr>
            <w:tcW w:w="20" w:type="dxa"/>
            <w:vAlign w:val="bottom"/>
            <w:shd w:val="clear" w:color="auto" w:fill="CCEEFF"/>
          </w:tcPr>
          <w:p>
            <w:pPr>
              <w:spacing w:after="0"/>
              <w:rPr>
                <w:sz w:val="19"/>
                <w:szCs w:val="19"/>
                <w:color w:val="auto"/>
              </w:rPr>
            </w:pPr>
          </w:p>
        </w:tc>
        <w:tc>
          <w:tcPr>
            <w:tcW w:w="7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Tenant security deposits</w:t>
            </w:r>
          </w:p>
        </w:tc>
        <w:tc>
          <w:tcPr>
            <w:tcW w:w="180" w:type="dxa"/>
            <w:vAlign w:val="bottom"/>
            <w:tcBorders>
              <w:bottom w:val="single" w:sz="8" w:color="auto"/>
            </w:tcBorders>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565</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861</w:t>
            </w:r>
          </w:p>
        </w:tc>
      </w:tr>
      <w:tr>
        <w:trPr>
          <w:trHeight w:val="226"/>
        </w:trPr>
        <w:tc>
          <w:tcPr>
            <w:tcW w:w="20" w:type="dxa"/>
            <w:vAlign w:val="bottom"/>
          </w:tcPr>
          <w:p>
            <w:pPr>
              <w:spacing w:after="0"/>
              <w:rPr>
                <w:sz w:val="19"/>
                <w:szCs w:val="19"/>
                <w:color w:val="auto"/>
              </w:rPr>
            </w:pPr>
          </w:p>
        </w:tc>
        <w:tc>
          <w:tcPr>
            <w:tcW w:w="76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Total</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54,257</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64,098</w:t>
            </w:r>
          </w:p>
        </w:tc>
      </w:tr>
      <w:tr>
        <w:trPr>
          <w:trHeight w:val="20"/>
        </w:trPr>
        <w:tc>
          <w:tcPr>
            <w:tcW w:w="2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55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BRIGHTSPIRE CAPITAL,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Debt</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debt as of September 30, 2026, and December 31, 2025 (dollars in thousands):</w: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0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840" w:type="dxa"/>
            <w:vAlign w:val="bottom"/>
            <w:tcBorders>
              <w:bottom w:val="single" w:sz="8" w:color="auto"/>
            </w:tcBorders>
            <w:gridSpan w:val="4"/>
          </w:tcPr>
          <w:p>
            <w:pPr>
              <w:jc w:val="right"/>
              <w:ind w:right="353"/>
              <w:spacing w:after="0"/>
              <w:rPr>
                <w:sz w:val="20"/>
                <w:szCs w:val="20"/>
                <w:color w:val="auto"/>
              </w:rPr>
            </w:pPr>
            <w:r>
              <w:rPr>
                <w:rFonts w:ascii="Times New Roman" w:cs="Times New Roman" w:eastAsia="Times New Roman" w:hAnsi="Times New Roman"/>
                <w:sz w:val="13"/>
                <w:szCs w:val="13"/>
                <w:b w:val="1"/>
                <w:bCs w:val="1"/>
                <w:color w:val="auto"/>
              </w:rPr>
              <w:t>September 30, 2026</w:t>
            </w: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840" w:type="dxa"/>
            <w:vAlign w:val="bottom"/>
            <w:tcBorders>
              <w:bottom w:val="single" w:sz="8" w:color="auto"/>
            </w:tcBorders>
            <w:gridSpan w:val="4"/>
          </w:tcPr>
          <w:p>
            <w:pPr>
              <w:jc w:val="right"/>
              <w:ind w:right="373"/>
              <w:spacing w:after="0"/>
              <w:rPr>
                <w:sz w:val="20"/>
                <w:szCs w:val="20"/>
                <w:color w:val="auto"/>
              </w:rPr>
            </w:pPr>
            <w:r>
              <w:rPr>
                <w:rFonts w:ascii="Times New Roman" w:cs="Times New Roman" w:eastAsia="Times New Roman" w:hAnsi="Times New Roman"/>
                <w:sz w:val="13"/>
                <w:szCs w:val="13"/>
                <w:b w:val="1"/>
                <w:bCs w:val="1"/>
                <w:color w:val="auto"/>
              </w:rPr>
              <w:t>December 31, 2025</w:t>
            </w:r>
          </w:p>
        </w:tc>
        <w:tc>
          <w:tcPr>
            <w:tcW w:w="0" w:type="dxa"/>
            <w:vAlign w:val="bottom"/>
          </w:tcPr>
          <w:p>
            <w:pPr>
              <w:spacing w:after="0"/>
              <w:rPr>
                <w:sz w:val="1"/>
                <w:szCs w:val="1"/>
                <w:color w:val="auto"/>
              </w:rPr>
            </w:pPr>
          </w:p>
        </w:tc>
      </w:tr>
      <w:tr>
        <w:trPr>
          <w:trHeight w:val="148"/>
        </w:trPr>
        <w:tc>
          <w:tcPr>
            <w:tcW w:w="20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vMerge w:val="restart"/>
          </w:tcPr>
          <w:p>
            <w:pPr>
              <w:jc w:val="right"/>
              <w:ind w:right="33"/>
              <w:spacing w:after="0"/>
              <w:rPr>
                <w:sz w:val="20"/>
                <w:szCs w:val="20"/>
                <w:color w:val="auto"/>
              </w:rPr>
            </w:pPr>
            <w:r>
              <w:rPr>
                <w:rFonts w:ascii="Times New Roman" w:cs="Times New Roman" w:eastAsia="Times New Roman" w:hAnsi="Times New Roman"/>
                <w:sz w:val="13"/>
                <w:szCs w:val="13"/>
                <w:b w:val="1"/>
                <w:bCs w:val="1"/>
                <w:color w:val="auto"/>
              </w:rPr>
              <w:t>Capacity ($)</w:t>
            </w:r>
          </w:p>
        </w:tc>
        <w:tc>
          <w:tcPr>
            <w:tcW w:w="100" w:type="dxa"/>
            <w:vAlign w:val="bottom"/>
          </w:tcPr>
          <w:p>
            <w:pPr>
              <w:spacing w:after="0"/>
              <w:rPr>
                <w:sz w:val="12"/>
                <w:szCs w:val="12"/>
                <w:color w:val="auto"/>
              </w:rPr>
            </w:pPr>
          </w:p>
        </w:tc>
        <w:tc>
          <w:tcPr>
            <w:tcW w:w="1560" w:type="dxa"/>
            <w:vAlign w:val="bottom"/>
            <w:gridSpan w:val="2"/>
          </w:tcPr>
          <w:p>
            <w:pPr>
              <w:jc w:val="center"/>
              <w:ind w:right="120"/>
              <w:spacing w:after="0"/>
              <w:rPr>
                <w:sz w:val="20"/>
                <w:szCs w:val="20"/>
                <w:color w:val="auto"/>
              </w:rPr>
            </w:pPr>
            <w:r>
              <w:rPr>
                <w:rFonts w:ascii="Times New Roman" w:cs="Times New Roman" w:eastAsia="Times New Roman" w:hAnsi="Times New Roman"/>
                <w:sz w:val="13"/>
                <w:szCs w:val="13"/>
                <w:b w:val="1"/>
                <w:bCs w:val="1"/>
                <w:color w:val="auto"/>
              </w:rPr>
              <w:t>Recourse vs. Non-</w:t>
            </w:r>
          </w:p>
        </w:tc>
        <w:tc>
          <w:tcPr>
            <w:tcW w:w="100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rPr>
              <w:t>Final</w:t>
            </w:r>
          </w:p>
        </w:tc>
        <w:tc>
          <w:tcPr>
            <w:tcW w:w="122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Contractual</w:t>
            </w:r>
          </w:p>
        </w:tc>
        <w:tc>
          <w:tcPr>
            <w:tcW w:w="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rPr>
              <w:t>Principal</w:t>
            </w:r>
          </w:p>
        </w:tc>
        <w:tc>
          <w:tcPr>
            <w:tcW w:w="140" w:type="dxa"/>
            <w:vAlign w:val="bottom"/>
          </w:tcPr>
          <w:p>
            <w:pPr>
              <w:spacing w:after="0"/>
              <w:rPr>
                <w:sz w:val="12"/>
                <w:szCs w:val="12"/>
                <w:color w:val="auto"/>
              </w:rPr>
            </w:pPr>
          </w:p>
        </w:tc>
        <w:tc>
          <w:tcPr>
            <w:tcW w:w="90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rPr>
              <w:t>Carrying</w:t>
            </w:r>
          </w:p>
        </w:tc>
        <w:tc>
          <w:tcPr>
            <w:tcW w:w="140" w:type="dxa"/>
            <w:vAlign w:val="bottom"/>
          </w:tcPr>
          <w:p>
            <w:pPr>
              <w:spacing w:after="0"/>
              <w:rPr>
                <w:sz w:val="12"/>
                <w:szCs w:val="12"/>
                <w:color w:val="auto"/>
              </w:rPr>
            </w:pPr>
          </w:p>
        </w:tc>
        <w:tc>
          <w:tcPr>
            <w:tcW w:w="90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rPr>
              <w:t>Principal</w:t>
            </w:r>
          </w:p>
        </w:tc>
        <w:tc>
          <w:tcPr>
            <w:tcW w:w="160" w:type="dxa"/>
            <w:vAlign w:val="bottom"/>
          </w:tcPr>
          <w:p>
            <w:pPr>
              <w:spacing w:after="0"/>
              <w:rPr>
                <w:sz w:val="12"/>
                <w:szCs w:val="12"/>
                <w:color w:val="auto"/>
              </w:rPr>
            </w:pPr>
          </w:p>
        </w:tc>
        <w:tc>
          <w:tcPr>
            <w:tcW w:w="780" w:type="dxa"/>
            <w:vAlign w:val="bottom"/>
          </w:tcPr>
          <w:p>
            <w:pPr>
              <w:jc w:val="right"/>
              <w:ind w:right="133"/>
              <w:spacing w:after="0"/>
              <w:rPr>
                <w:sz w:val="20"/>
                <w:szCs w:val="20"/>
                <w:color w:val="auto"/>
              </w:rPr>
            </w:pPr>
            <w:r>
              <w:rPr>
                <w:rFonts w:ascii="Times New Roman" w:cs="Times New Roman" w:eastAsia="Times New Roman" w:hAnsi="Times New Roman"/>
                <w:sz w:val="13"/>
                <w:szCs w:val="13"/>
                <w:b w:val="1"/>
                <w:bCs w:val="1"/>
                <w:color w:val="auto"/>
              </w:rPr>
              <w:t>Carrying</w:t>
            </w:r>
          </w:p>
        </w:tc>
        <w:tc>
          <w:tcPr>
            <w:tcW w:w="0" w:type="dxa"/>
            <w:vAlign w:val="bottom"/>
          </w:tcPr>
          <w:p>
            <w:pPr>
              <w:spacing w:after="0"/>
              <w:rPr>
                <w:sz w:val="1"/>
                <w:szCs w:val="1"/>
                <w:color w:val="auto"/>
              </w:rPr>
            </w:pPr>
          </w:p>
        </w:tc>
      </w:tr>
      <w:tr>
        <w:trPr>
          <w:trHeight w:val="189"/>
        </w:trPr>
        <w:tc>
          <w:tcPr>
            <w:tcW w:w="20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560" w:type="dxa"/>
            <w:vAlign w:val="bottom"/>
            <w:gridSpan w:val="2"/>
          </w:tcPr>
          <w:p>
            <w:pPr>
              <w:jc w:val="center"/>
              <w:ind w:right="100"/>
              <w:spacing w:after="0" w:line="189" w:lineRule="exact"/>
              <w:rPr>
                <w:sz w:val="20"/>
                <w:szCs w:val="20"/>
                <w:color w:val="auto"/>
              </w:rPr>
            </w:pPr>
            <w:r>
              <w:rPr>
                <w:rFonts w:ascii="Times New Roman" w:cs="Times New Roman" w:eastAsia="Times New Roman" w:hAnsi="Times New Roman"/>
                <w:sz w:val="13"/>
                <w:szCs w:val="13"/>
                <w:b w:val="1"/>
                <w:bCs w:val="1"/>
                <w:color w:val="auto"/>
                <w:w w:val="96"/>
              </w:rPr>
              <w:t>Recourse</w:t>
            </w:r>
            <w:r>
              <w:rPr>
                <w:rFonts w:ascii="Times New Roman" w:cs="Times New Roman" w:eastAsia="Times New Roman" w:hAnsi="Times New Roman"/>
                <w:sz w:val="17"/>
                <w:szCs w:val="17"/>
                <w:b w:val="1"/>
                <w:bCs w:val="1"/>
                <w:color w:val="auto"/>
                <w:w w:val="96"/>
                <w:vertAlign w:val="superscript"/>
              </w:rPr>
              <w:t>(1)</w:t>
            </w:r>
          </w:p>
        </w:tc>
        <w:tc>
          <w:tcPr>
            <w:tcW w:w="100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rPr>
              <w:t>Maturity</w:t>
            </w:r>
          </w:p>
        </w:tc>
        <w:tc>
          <w:tcPr>
            <w:tcW w:w="122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Interest Rate</w:t>
            </w:r>
          </w:p>
        </w:tc>
        <w:tc>
          <w:tcPr>
            <w:tcW w:w="4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gridSpan w:val="2"/>
          </w:tcPr>
          <w:p>
            <w:pPr>
              <w:jc w:val="center"/>
              <w:ind w:right="240"/>
              <w:spacing w:after="0" w:line="189" w:lineRule="exact"/>
              <w:rPr>
                <w:sz w:val="20"/>
                <w:szCs w:val="20"/>
                <w:color w:val="auto"/>
              </w:rPr>
            </w:pPr>
            <w:r>
              <w:rPr>
                <w:rFonts w:ascii="Times New Roman" w:cs="Times New Roman" w:eastAsia="Times New Roman" w:hAnsi="Times New Roman"/>
                <w:sz w:val="13"/>
                <w:szCs w:val="13"/>
                <w:b w:val="1"/>
                <w:bCs w:val="1"/>
                <w:color w:val="auto"/>
                <w:w w:val="98"/>
              </w:rPr>
              <w:t>Amount</w:t>
            </w:r>
            <w:r>
              <w:rPr>
                <w:rFonts w:ascii="Times New Roman" w:cs="Times New Roman" w:eastAsia="Times New Roman" w:hAnsi="Times New Roman"/>
                <w:sz w:val="17"/>
                <w:szCs w:val="17"/>
                <w:b w:val="1"/>
                <w:bCs w:val="1"/>
                <w:color w:val="auto"/>
                <w:w w:val="98"/>
                <w:vertAlign w:val="superscript"/>
              </w:rPr>
              <w:t>(2)</w:t>
            </w:r>
          </w:p>
        </w:tc>
        <w:tc>
          <w:tcPr>
            <w:tcW w:w="140" w:type="dxa"/>
            <w:vAlign w:val="bottom"/>
          </w:tcPr>
          <w:p>
            <w:pPr>
              <w:spacing w:after="0"/>
              <w:rPr>
                <w:sz w:val="16"/>
                <w:szCs w:val="16"/>
                <w:color w:val="auto"/>
              </w:rPr>
            </w:pPr>
          </w:p>
        </w:tc>
        <w:tc>
          <w:tcPr>
            <w:tcW w:w="900" w:type="dxa"/>
            <w:vAlign w:val="bottom"/>
            <w:gridSpan w:val="2"/>
          </w:tcPr>
          <w:p>
            <w:pPr>
              <w:jc w:val="center"/>
              <w:ind w:right="240"/>
              <w:spacing w:after="0" w:line="189" w:lineRule="exact"/>
              <w:rPr>
                <w:sz w:val="20"/>
                <w:szCs w:val="20"/>
                <w:color w:val="auto"/>
              </w:rPr>
            </w:pPr>
            <w:r>
              <w:rPr>
                <w:rFonts w:ascii="Times New Roman" w:cs="Times New Roman" w:eastAsia="Times New Roman" w:hAnsi="Times New Roman"/>
                <w:sz w:val="13"/>
                <w:szCs w:val="13"/>
                <w:b w:val="1"/>
                <w:bCs w:val="1"/>
                <w:color w:val="auto"/>
                <w:w w:val="91"/>
              </w:rPr>
              <w:t>Value</w:t>
            </w:r>
            <w:r>
              <w:rPr>
                <w:rFonts w:ascii="Times New Roman" w:cs="Times New Roman" w:eastAsia="Times New Roman" w:hAnsi="Times New Roman"/>
                <w:sz w:val="17"/>
                <w:szCs w:val="17"/>
                <w:b w:val="1"/>
                <w:bCs w:val="1"/>
                <w:color w:val="auto"/>
                <w:w w:val="91"/>
                <w:vertAlign w:val="superscript"/>
              </w:rPr>
              <w:t>(2)</w:t>
            </w:r>
          </w:p>
        </w:tc>
        <w:tc>
          <w:tcPr>
            <w:tcW w:w="140" w:type="dxa"/>
            <w:vAlign w:val="bottom"/>
          </w:tcPr>
          <w:p>
            <w:pPr>
              <w:spacing w:after="0"/>
              <w:rPr>
                <w:sz w:val="16"/>
                <w:szCs w:val="16"/>
                <w:color w:val="auto"/>
              </w:rPr>
            </w:pPr>
          </w:p>
        </w:tc>
        <w:tc>
          <w:tcPr>
            <w:tcW w:w="900" w:type="dxa"/>
            <w:vAlign w:val="bottom"/>
            <w:gridSpan w:val="2"/>
          </w:tcPr>
          <w:p>
            <w:pPr>
              <w:jc w:val="center"/>
              <w:ind w:right="240"/>
              <w:spacing w:after="0" w:line="189" w:lineRule="exact"/>
              <w:rPr>
                <w:sz w:val="20"/>
                <w:szCs w:val="20"/>
                <w:color w:val="auto"/>
              </w:rPr>
            </w:pPr>
            <w:r>
              <w:rPr>
                <w:rFonts w:ascii="Times New Roman" w:cs="Times New Roman" w:eastAsia="Times New Roman" w:hAnsi="Times New Roman"/>
                <w:sz w:val="13"/>
                <w:szCs w:val="13"/>
                <w:b w:val="1"/>
                <w:bCs w:val="1"/>
                <w:color w:val="auto"/>
                <w:w w:val="98"/>
              </w:rPr>
              <w:t>Amount</w:t>
            </w:r>
            <w:r>
              <w:rPr>
                <w:rFonts w:ascii="Times New Roman" w:cs="Times New Roman" w:eastAsia="Times New Roman" w:hAnsi="Times New Roman"/>
                <w:sz w:val="17"/>
                <w:szCs w:val="17"/>
                <w:b w:val="1"/>
                <w:bCs w:val="1"/>
                <w:color w:val="auto"/>
                <w:w w:val="98"/>
                <w:vertAlign w:val="superscript"/>
              </w:rPr>
              <w:t>(2)</w:t>
            </w:r>
          </w:p>
        </w:tc>
        <w:tc>
          <w:tcPr>
            <w:tcW w:w="160" w:type="dxa"/>
            <w:vAlign w:val="bottom"/>
          </w:tcPr>
          <w:p>
            <w:pPr>
              <w:spacing w:after="0"/>
              <w:rPr>
                <w:sz w:val="16"/>
                <w:szCs w:val="16"/>
                <w:color w:val="auto"/>
              </w:rPr>
            </w:pPr>
          </w:p>
        </w:tc>
        <w:tc>
          <w:tcPr>
            <w:tcW w:w="780" w:type="dxa"/>
            <w:vAlign w:val="bottom"/>
          </w:tcPr>
          <w:p>
            <w:pPr>
              <w:jc w:val="right"/>
              <w:ind w:right="193"/>
              <w:spacing w:after="0" w:line="189" w:lineRule="exact"/>
              <w:rPr>
                <w:sz w:val="20"/>
                <w:szCs w:val="20"/>
                <w:color w:val="auto"/>
              </w:rPr>
            </w:pPr>
            <w:r>
              <w:rPr>
                <w:rFonts w:ascii="Times New Roman" w:cs="Times New Roman" w:eastAsia="Times New Roman" w:hAnsi="Times New Roman"/>
                <w:sz w:val="13"/>
                <w:szCs w:val="13"/>
                <w:b w:val="1"/>
                <w:bCs w:val="1"/>
                <w:color w:val="auto"/>
              </w:rPr>
              <w:t>Value</w:t>
            </w:r>
            <w:r>
              <w:rPr>
                <w:rFonts w:ascii="Times New Roman" w:cs="Times New Roman" w:eastAsia="Times New Roman" w:hAnsi="Times New Roman"/>
                <w:sz w:val="17"/>
                <w:szCs w:val="17"/>
                <w:b w:val="1"/>
                <w:bCs w:val="1"/>
                <w:color w:val="auto"/>
                <w:vertAlign w:val="superscript"/>
              </w:rPr>
              <w:t>(2)</w:t>
            </w:r>
          </w:p>
        </w:tc>
        <w:tc>
          <w:tcPr>
            <w:tcW w:w="0" w:type="dxa"/>
            <w:vAlign w:val="bottom"/>
          </w:tcPr>
          <w:p>
            <w:pPr>
              <w:spacing w:after="0"/>
              <w:rPr>
                <w:sz w:val="1"/>
                <w:szCs w:val="1"/>
                <w:color w:val="auto"/>
              </w:rPr>
            </w:pPr>
          </w:p>
        </w:tc>
      </w:tr>
      <w:tr>
        <w:trPr>
          <w:trHeight w:val="34"/>
        </w:trPr>
        <w:tc>
          <w:tcPr>
            <w:tcW w:w="2000" w:type="dxa"/>
            <w:vAlign w:val="bottom"/>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82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140" w:type="dxa"/>
            <w:vAlign w:val="bottom"/>
            <w:tcBorders>
              <w:top w:val="single" w:sz="8" w:color="auto"/>
            </w:tcBorders>
          </w:tcPr>
          <w:p>
            <w:pPr>
              <w:spacing w:after="0"/>
              <w:rPr>
                <w:sz w:val="2"/>
                <w:szCs w:val="2"/>
                <w:color w:val="auto"/>
              </w:rPr>
            </w:pPr>
          </w:p>
        </w:tc>
        <w:tc>
          <w:tcPr>
            <w:tcW w:w="80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top w:val="single" w:sz="8" w:color="auto"/>
            </w:tcBorders>
          </w:tcPr>
          <w:p>
            <w:pPr>
              <w:spacing w:after="0"/>
              <w:rPr>
                <w:sz w:val="2"/>
                <w:szCs w:val="2"/>
                <w:color w:val="auto"/>
              </w:rPr>
            </w:pPr>
          </w:p>
        </w:tc>
        <w:tc>
          <w:tcPr>
            <w:tcW w:w="80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top w:val="single" w:sz="8" w:color="auto"/>
            </w:tcBorders>
          </w:tcPr>
          <w:p>
            <w:pPr>
              <w:spacing w:after="0"/>
              <w:rPr>
                <w:sz w:val="2"/>
                <w:szCs w:val="2"/>
                <w:color w:val="auto"/>
              </w:rPr>
            </w:pPr>
          </w:p>
        </w:tc>
        <w:tc>
          <w:tcPr>
            <w:tcW w:w="820" w:type="dxa"/>
            <w:vAlign w:val="bottom"/>
            <w:tcBorders>
              <w:top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Borders>
              <w:top w:val="single" w:sz="8" w:color="auto"/>
            </w:tcBorders>
          </w:tcPr>
          <w:p>
            <w:pPr>
              <w:spacing w:after="0"/>
              <w:rPr>
                <w:sz w:val="2"/>
                <w:szCs w:val="2"/>
                <w:color w:val="auto"/>
              </w:rPr>
            </w:pPr>
          </w:p>
        </w:tc>
        <w:tc>
          <w:tcPr>
            <w:tcW w:w="780" w:type="dxa"/>
            <w:vAlign w:val="bottom"/>
            <w:tcBorders>
              <w:top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i w:val="1"/>
                <w:iCs w:val="1"/>
                <w:color w:val="auto"/>
              </w:rPr>
              <w:t>Securitization bonds payable, net</w:t>
            </w: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00" w:type="dxa"/>
            <w:vAlign w:val="bottom"/>
          </w:tcPr>
          <w:p>
            <w:pPr>
              <w:ind w:left="160"/>
              <w:spacing w:after="0"/>
              <w:rPr>
                <w:sz w:val="20"/>
                <w:szCs w:val="20"/>
                <w:color w:val="auto"/>
              </w:rPr>
            </w:pPr>
            <w:r>
              <w:rPr>
                <w:rFonts w:ascii="Times New Roman" w:cs="Times New Roman" w:eastAsia="Times New Roman" w:hAnsi="Times New Roman"/>
                <w:sz w:val="13"/>
                <w:szCs w:val="13"/>
                <w:color w:val="auto"/>
              </w:rPr>
              <w:t>BRSP 2026-FL3</w:t>
            </w:r>
            <w:r>
              <w:rPr>
                <w:rFonts w:ascii="Times New Roman" w:cs="Times New Roman" w:eastAsia="Times New Roman" w:hAnsi="Times New Roman"/>
                <w:sz w:val="17"/>
                <w:szCs w:val="17"/>
                <w:color w:val="auto"/>
                <w:vertAlign w:val="superscript"/>
              </w:rPr>
              <w:t>(3)</w:t>
            </w: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6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color w:val="auto"/>
              </w:rPr>
              <w:t>Non-recourse</w:t>
            </w:r>
          </w:p>
        </w:tc>
        <w:tc>
          <w:tcPr>
            <w:tcW w:w="100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color w:val="auto"/>
              </w:rPr>
              <w:t>Aug-43</w:t>
            </w:r>
          </w:p>
        </w:tc>
        <w:tc>
          <w:tcPr>
            <w:tcW w:w="122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SOFR + 1.69%</w:t>
            </w:r>
          </w:p>
        </w:tc>
        <w:tc>
          <w:tcPr>
            <w:tcW w:w="54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833,237</w:t>
            </w:r>
          </w:p>
        </w:tc>
        <w:tc>
          <w:tcPr>
            <w:tcW w:w="10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828,132</w:t>
            </w:r>
          </w:p>
        </w:tc>
        <w:tc>
          <w:tcPr>
            <w:tcW w:w="10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203"/>
        </w:trPr>
        <w:tc>
          <w:tcPr>
            <w:tcW w:w="20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3"/>
                <w:szCs w:val="13"/>
                <w:color w:val="auto"/>
              </w:rPr>
              <w:t>BRSP 2024-FL2</w:t>
            </w:r>
            <w:r>
              <w:rPr>
                <w:rFonts w:ascii="Times New Roman" w:cs="Times New Roman" w:eastAsia="Times New Roman" w:hAnsi="Times New Roman"/>
                <w:sz w:val="17"/>
                <w:szCs w:val="17"/>
                <w:color w:val="auto"/>
                <w:vertAlign w:val="superscript"/>
              </w:rPr>
              <w:t>(3)</w:t>
            </w: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56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3"/>
                <w:szCs w:val="13"/>
                <w:color w:val="auto"/>
              </w:rPr>
              <w:t>Non-recourse</w:t>
            </w:r>
          </w:p>
        </w:tc>
        <w:tc>
          <w:tcPr>
            <w:tcW w:w="100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3"/>
                <w:szCs w:val="13"/>
                <w:color w:val="auto"/>
              </w:rPr>
              <w:t>Aug-37</w:t>
            </w:r>
          </w:p>
        </w:tc>
        <w:tc>
          <w:tcPr>
            <w:tcW w:w="12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SOFR + 2.51%</w:t>
            </w:r>
          </w:p>
        </w:tc>
        <w:tc>
          <w:tcPr>
            <w:tcW w:w="4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537,785</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534,599</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583,875</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578,879</w:t>
            </w:r>
          </w:p>
        </w:tc>
        <w:tc>
          <w:tcPr>
            <w:tcW w:w="0" w:type="dxa"/>
            <w:vAlign w:val="bottom"/>
          </w:tcPr>
          <w:p>
            <w:pPr>
              <w:spacing w:after="0"/>
              <w:rPr>
                <w:sz w:val="1"/>
                <w:szCs w:val="1"/>
                <w:color w:val="auto"/>
              </w:rPr>
            </w:pPr>
          </w:p>
        </w:tc>
      </w:tr>
      <w:tr>
        <w:trPr>
          <w:trHeight w:val="114"/>
        </w:trPr>
        <w:tc>
          <w:tcPr>
            <w:tcW w:w="2000" w:type="dxa"/>
            <w:vAlign w:val="bottom"/>
            <w:vMerge w:val="restart"/>
          </w:tcPr>
          <w:p>
            <w:pPr>
              <w:ind w:left="160"/>
              <w:spacing w:after="0"/>
              <w:rPr>
                <w:sz w:val="20"/>
                <w:szCs w:val="20"/>
                <w:color w:val="auto"/>
              </w:rPr>
            </w:pPr>
            <w:r>
              <w:rPr>
                <w:rFonts w:ascii="Times New Roman" w:cs="Times New Roman" w:eastAsia="Times New Roman" w:hAnsi="Times New Roman"/>
                <w:sz w:val="13"/>
                <w:szCs w:val="13"/>
                <w:color w:val="auto"/>
              </w:rPr>
              <w:t>BRSP 2021-FL1</w:t>
            </w:r>
            <w:r>
              <w:rPr>
                <w:rFonts w:ascii="Times New Roman" w:cs="Times New Roman" w:eastAsia="Times New Roman" w:hAnsi="Times New Roman"/>
                <w:sz w:val="17"/>
                <w:szCs w:val="17"/>
                <w:color w:val="auto"/>
                <w:vertAlign w:val="superscript"/>
              </w:rPr>
              <w:t>(3)</w:t>
            </w:r>
          </w:p>
        </w:tc>
        <w:tc>
          <w:tcPr>
            <w:tcW w:w="80" w:type="dxa"/>
            <w:vAlign w:val="bottom"/>
          </w:tcPr>
          <w:p>
            <w:pPr>
              <w:spacing w:after="0"/>
              <w:rPr>
                <w:sz w:val="9"/>
                <w:szCs w:val="9"/>
                <w:color w:val="auto"/>
              </w:rPr>
            </w:pPr>
          </w:p>
        </w:tc>
        <w:tc>
          <w:tcPr>
            <w:tcW w:w="8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560" w:type="dxa"/>
            <w:vAlign w:val="bottom"/>
            <w:gridSpan w:val="2"/>
            <w:vMerge w:val="restart"/>
          </w:tcPr>
          <w:p>
            <w:pPr>
              <w:ind w:left="220"/>
              <w:spacing w:after="0"/>
              <w:rPr>
                <w:sz w:val="20"/>
                <w:szCs w:val="20"/>
                <w:color w:val="auto"/>
              </w:rPr>
            </w:pPr>
            <w:r>
              <w:rPr>
                <w:rFonts w:ascii="Times New Roman" w:cs="Times New Roman" w:eastAsia="Times New Roman" w:hAnsi="Times New Roman"/>
                <w:sz w:val="13"/>
                <w:szCs w:val="13"/>
                <w:color w:val="auto"/>
              </w:rPr>
              <w:t>Non-recourse</w:t>
            </w:r>
          </w:p>
        </w:tc>
        <w:tc>
          <w:tcPr>
            <w:tcW w:w="900" w:type="dxa"/>
            <w:vAlign w:val="bottom"/>
          </w:tcPr>
          <w:p>
            <w:pPr>
              <w:jc w:val="center"/>
              <w:spacing w:after="0"/>
              <w:rPr>
                <w:sz w:val="20"/>
                <w:szCs w:val="20"/>
                <w:color w:val="auto"/>
              </w:rPr>
            </w:pPr>
            <w:r>
              <w:rPr>
                <w:rFonts w:ascii="Times New Roman" w:cs="Times New Roman" w:eastAsia="Times New Roman" w:hAnsi="Times New Roman"/>
                <w:sz w:val="9"/>
                <w:szCs w:val="9"/>
                <w:color w:val="auto"/>
                <w:w w:val="94"/>
              </w:rPr>
              <w:t>(4)</w:t>
            </w:r>
          </w:p>
        </w:tc>
        <w:tc>
          <w:tcPr>
            <w:tcW w:w="100" w:type="dxa"/>
            <w:vAlign w:val="bottom"/>
          </w:tcPr>
          <w:p>
            <w:pPr>
              <w:spacing w:after="0"/>
              <w:rPr>
                <w:sz w:val="9"/>
                <w:szCs w:val="9"/>
                <w:color w:val="auto"/>
              </w:rPr>
            </w:pPr>
          </w:p>
        </w:tc>
        <w:tc>
          <w:tcPr>
            <w:tcW w:w="1220" w:type="dxa"/>
            <w:vAlign w:val="bottom"/>
          </w:tcPr>
          <w:p>
            <w:pPr>
              <w:jc w:val="center"/>
              <w:spacing w:after="0"/>
              <w:rPr>
                <w:sz w:val="20"/>
                <w:szCs w:val="20"/>
                <w:color w:val="auto"/>
              </w:rPr>
            </w:pPr>
            <w:r>
              <w:rPr>
                <w:rFonts w:ascii="Times New Roman" w:cs="Times New Roman" w:eastAsia="Times New Roman" w:hAnsi="Times New Roman"/>
                <w:sz w:val="9"/>
                <w:szCs w:val="9"/>
                <w:color w:val="auto"/>
                <w:w w:val="94"/>
              </w:rPr>
              <w:t>(4)</w:t>
            </w:r>
          </w:p>
        </w:tc>
        <w:tc>
          <w:tcPr>
            <w:tcW w:w="400" w:type="dxa"/>
            <w:vAlign w:val="bottom"/>
          </w:tcPr>
          <w:p>
            <w:pPr>
              <w:spacing w:after="0"/>
              <w:rPr>
                <w:sz w:val="9"/>
                <w:szCs w:val="9"/>
                <w:color w:val="auto"/>
              </w:rPr>
            </w:pPr>
          </w:p>
        </w:tc>
        <w:tc>
          <w:tcPr>
            <w:tcW w:w="140" w:type="dxa"/>
            <w:vAlign w:val="bottom"/>
          </w:tcPr>
          <w:p>
            <w:pPr>
              <w:spacing w:after="0"/>
              <w:rPr>
                <w:sz w:val="9"/>
                <w:szCs w:val="9"/>
                <w:color w:val="auto"/>
              </w:rPr>
            </w:pPr>
          </w:p>
        </w:tc>
        <w:tc>
          <w:tcPr>
            <w:tcW w:w="9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9"/>
                <w:szCs w:val="9"/>
                <w:color w:val="auto"/>
              </w:rPr>
            </w:pPr>
          </w:p>
        </w:tc>
        <w:tc>
          <w:tcPr>
            <w:tcW w:w="9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9"/>
                <w:szCs w:val="9"/>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398,215</w:t>
            </w:r>
          </w:p>
        </w:tc>
        <w:tc>
          <w:tcPr>
            <w:tcW w:w="80" w:type="dxa"/>
            <w:vAlign w:val="bottom"/>
          </w:tcPr>
          <w:p>
            <w:pPr>
              <w:spacing w:after="0"/>
              <w:rPr>
                <w:sz w:val="9"/>
                <w:szCs w:val="9"/>
                <w:color w:val="auto"/>
              </w:rPr>
            </w:pPr>
          </w:p>
        </w:tc>
        <w:tc>
          <w:tcPr>
            <w:tcW w:w="160" w:type="dxa"/>
            <w:vAlign w:val="bottom"/>
          </w:tcPr>
          <w:p>
            <w:pPr>
              <w:spacing w:after="0"/>
              <w:rPr>
                <w:sz w:val="9"/>
                <w:szCs w:val="9"/>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398,203</w:t>
            </w:r>
          </w:p>
        </w:tc>
        <w:tc>
          <w:tcPr>
            <w:tcW w:w="0" w:type="dxa"/>
            <w:vAlign w:val="bottom"/>
          </w:tcPr>
          <w:p>
            <w:pPr>
              <w:spacing w:after="0"/>
              <w:rPr>
                <w:sz w:val="1"/>
                <w:szCs w:val="1"/>
                <w:color w:val="auto"/>
              </w:rPr>
            </w:pPr>
          </w:p>
        </w:tc>
      </w:tr>
      <w:tr>
        <w:trPr>
          <w:trHeight w:val="88"/>
        </w:trPr>
        <w:tc>
          <w:tcPr>
            <w:tcW w:w="2000" w:type="dxa"/>
            <w:vAlign w:val="bottom"/>
            <w:vMerge w:val="continue"/>
          </w:tcPr>
          <w:p>
            <w:pPr>
              <w:spacing w:after="0"/>
              <w:rPr>
                <w:sz w:val="7"/>
                <w:szCs w:val="7"/>
                <w:color w:val="auto"/>
              </w:rPr>
            </w:pPr>
          </w:p>
        </w:tc>
        <w:tc>
          <w:tcPr>
            <w:tcW w:w="80" w:type="dxa"/>
            <w:vAlign w:val="bottom"/>
          </w:tcPr>
          <w:p>
            <w:pPr>
              <w:spacing w:after="0"/>
              <w:rPr>
                <w:sz w:val="7"/>
                <w:szCs w:val="7"/>
                <w:color w:val="auto"/>
              </w:rPr>
            </w:pPr>
          </w:p>
        </w:tc>
        <w:tc>
          <w:tcPr>
            <w:tcW w:w="8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560" w:type="dxa"/>
            <w:vAlign w:val="bottom"/>
            <w:gridSpan w:val="2"/>
            <w:vMerge w:val="continue"/>
          </w:tcPr>
          <w:p>
            <w:pPr>
              <w:spacing w:after="0"/>
              <w:rPr>
                <w:sz w:val="7"/>
                <w:szCs w:val="7"/>
                <w:color w:val="auto"/>
              </w:rPr>
            </w:pPr>
          </w:p>
        </w:tc>
        <w:tc>
          <w:tcPr>
            <w:tcW w:w="900" w:type="dxa"/>
            <w:vAlign w:val="bottom"/>
          </w:tcPr>
          <w:p>
            <w:pPr>
              <w:spacing w:after="0"/>
              <w:rPr>
                <w:sz w:val="7"/>
                <w:szCs w:val="7"/>
                <w:color w:val="auto"/>
              </w:rPr>
            </w:pPr>
          </w:p>
        </w:tc>
        <w:tc>
          <w:tcPr>
            <w:tcW w:w="100" w:type="dxa"/>
            <w:vAlign w:val="bottom"/>
          </w:tcPr>
          <w:p>
            <w:pPr>
              <w:spacing w:after="0"/>
              <w:rPr>
                <w:sz w:val="7"/>
                <w:szCs w:val="7"/>
                <w:color w:val="auto"/>
              </w:rPr>
            </w:pPr>
          </w:p>
        </w:tc>
        <w:tc>
          <w:tcPr>
            <w:tcW w:w="1220" w:type="dxa"/>
            <w:vAlign w:val="bottom"/>
          </w:tcPr>
          <w:p>
            <w:pPr>
              <w:spacing w:after="0"/>
              <w:rPr>
                <w:sz w:val="7"/>
                <w:szCs w:val="7"/>
                <w:color w:val="auto"/>
              </w:rPr>
            </w:pPr>
          </w:p>
        </w:tc>
        <w:tc>
          <w:tcPr>
            <w:tcW w:w="400" w:type="dxa"/>
            <w:vAlign w:val="bottom"/>
          </w:tcPr>
          <w:p>
            <w:pPr>
              <w:spacing w:after="0"/>
              <w:rPr>
                <w:sz w:val="7"/>
                <w:szCs w:val="7"/>
                <w:color w:val="auto"/>
              </w:rPr>
            </w:pPr>
          </w:p>
        </w:tc>
        <w:tc>
          <w:tcPr>
            <w:tcW w:w="140" w:type="dxa"/>
            <w:vAlign w:val="bottom"/>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140" w:type="dxa"/>
            <w:vAlign w:val="bottom"/>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140" w:type="dxa"/>
            <w:vAlign w:val="bottom"/>
          </w:tcPr>
          <w:p>
            <w:pPr>
              <w:spacing w:after="0"/>
              <w:rPr>
                <w:sz w:val="7"/>
                <w:szCs w:val="7"/>
                <w:color w:val="auto"/>
              </w:rPr>
            </w:pPr>
          </w:p>
        </w:tc>
        <w:tc>
          <w:tcPr>
            <w:tcW w:w="820" w:type="dxa"/>
            <w:vAlign w:val="bottom"/>
            <w:vMerge w:val="continue"/>
          </w:tcPr>
          <w:p>
            <w:pPr>
              <w:spacing w:after="0"/>
              <w:rPr>
                <w:sz w:val="7"/>
                <w:szCs w:val="7"/>
                <w:color w:val="auto"/>
              </w:rPr>
            </w:pPr>
          </w:p>
        </w:tc>
        <w:tc>
          <w:tcPr>
            <w:tcW w:w="80" w:type="dxa"/>
            <w:vAlign w:val="bottom"/>
          </w:tcPr>
          <w:p>
            <w:pPr>
              <w:spacing w:after="0"/>
              <w:rPr>
                <w:sz w:val="7"/>
                <w:szCs w:val="7"/>
                <w:color w:val="auto"/>
              </w:rPr>
            </w:pPr>
          </w:p>
        </w:tc>
        <w:tc>
          <w:tcPr>
            <w:tcW w:w="16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29"/>
        </w:trPr>
        <w:tc>
          <w:tcPr>
            <w:tcW w:w="2000" w:type="dxa"/>
            <w:vAlign w:val="bottom"/>
            <w:tcBorders>
              <w:top w:val="single" w:sz="8" w:color="CCEEFF"/>
            </w:tcBorders>
            <w:shd w:val="clear" w:color="auto" w:fill="CCEEFF"/>
          </w:tcPr>
          <w:p>
            <w:pPr>
              <w:ind w:left="20"/>
              <w:spacing w:after="0" w:line="129" w:lineRule="exact"/>
              <w:rPr>
                <w:sz w:val="20"/>
                <w:szCs w:val="20"/>
                <w:color w:val="auto"/>
              </w:rPr>
            </w:pPr>
            <w:r>
              <w:rPr>
                <w:rFonts w:ascii="Times New Roman" w:cs="Times New Roman" w:eastAsia="Times New Roman" w:hAnsi="Times New Roman"/>
                <w:sz w:val="13"/>
                <w:szCs w:val="13"/>
                <w:b w:val="1"/>
                <w:bCs w:val="1"/>
                <w:color w:val="auto"/>
              </w:rPr>
              <w:t>Subtotal securitization bonds</w:t>
            </w:r>
          </w:p>
        </w:tc>
        <w:tc>
          <w:tcPr>
            <w:tcW w:w="80" w:type="dxa"/>
            <w:vAlign w:val="bottom"/>
            <w:tcBorders>
              <w:top w:val="single" w:sz="8" w:color="CCEEFF"/>
            </w:tcBorders>
            <w:shd w:val="clear" w:color="auto" w:fill="CCEEFF"/>
          </w:tcPr>
          <w:p>
            <w:pPr>
              <w:spacing w:after="0"/>
              <w:rPr>
                <w:sz w:val="11"/>
                <w:szCs w:val="11"/>
                <w:color w:val="auto"/>
              </w:rPr>
            </w:pPr>
          </w:p>
        </w:tc>
        <w:tc>
          <w:tcPr>
            <w:tcW w:w="82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146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90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1220" w:type="dxa"/>
            <w:vAlign w:val="bottom"/>
            <w:tcBorders>
              <w:top w:val="single" w:sz="8" w:color="CCEEFF"/>
            </w:tcBorders>
            <w:shd w:val="clear" w:color="auto" w:fill="CCEEFF"/>
          </w:tcPr>
          <w:p>
            <w:pPr>
              <w:spacing w:after="0"/>
              <w:rPr>
                <w:sz w:val="11"/>
                <w:szCs w:val="11"/>
                <w:color w:val="auto"/>
              </w:rPr>
            </w:pPr>
          </w:p>
        </w:tc>
        <w:tc>
          <w:tcPr>
            <w:tcW w:w="40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spacing w:after="0"/>
              <w:rPr>
                <w:sz w:val="11"/>
                <w:szCs w:val="11"/>
                <w:color w:val="auto"/>
              </w:rPr>
            </w:pPr>
          </w:p>
        </w:tc>
        <w:tc>
          <w:tcPr>
            <w:tcW w:w="80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1,371,022</w:t>
            </w:r>
          </w:p>
        </w:tc>
        <w:tc>
          <w:tcPr>
            <w:tcW w:w="10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spacing w:after="0"/>
              <w:rPr>
                <w:sz w:val="11"/>
                <w:szCs w:val="11"/>
                <w:color w:val="auto"/>
              </w:rPr>
            </w:pPr>
          </w:p>
        </w:tc>
        <w:tc>
          <w:tcPr>
            <w:tcW w:w="80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1,362,731</w:t>
            </w:r>
          </w:p>
        </w:tc>
        <w:tc>
          <w:tcPr>
            <w:tcW w:w="10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spacing w:after="0"/>
              <w:rPr>
                <w:sz w:val="11"/>
                <w:szCs w:val="11"/>
                <w:color w:val="auto"/>
              </w:rPr>
            </w:pPr>
          </w:p>
        </w:tc>
        <w:tc>
          <w:tcPr>
            <w:tcW w:w="82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982,090</w:t>
            </w:r>
          </w:p>
        </w:tc>
        <w:tc>
          <w:tcPr>
            <w:tcW w:w="8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spacing w:after="0"/>
              <w:rPr>
                <w:sz w:val="11"/>
                <w:szCs w:val="11"/>
                <w:color w:val="auto"/>
              </w:rPr>
            </w:pPr>
          </w:p>
        </w:tc>
        <w:tc>
          <w:tcPr>
            <w:tcW w:w="78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977,082</w:t>
            </w:r>
          </w:p>
        </w:tc>
        <w:tc>
          <w:tcPr>
            <w:tcW w:w="0" w:type="dxa"/>
            <w:vAlign w:val="bottom"/>
          </w:tcPr>
          <w:p>
            <w:pPr>
              <w:spacing w:after="0"/>
              <w:rPr>
                <w:sz w:val="1"/>
                <w:szCs w:val="1"/>
                <w:color w:val="auto"/>
              </w:rPr>
            </w:pPr>
          </w:p>
        </w:tc>
      </w:tr>
      <w:tr>
        <w:trPr>
          <w:trHeight w:val="189"/>
        </w:trPr>
        <w:tc>
          <w:tcPr>
            <w:tcW w:w="2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payable, net</w:t>
            </w:r>
          </w:p>
        </w:tc>
        <w:tc>
          <w:tcPr>
            <w:tcW w:w="8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2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8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8"/>
        </w:trPr>
        <w:tc>
          <w:tcPr>
            <w:tcW w:w="2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i w:val="1"/>
                <w:iCs w:val="1"/>
                <w:color w:val="auto"/>
              </w:rPr>
              <w:t>Mortgage and other notes payable,</w:t>
            </w: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2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i w:val="1"/>
                <w:iCs w:val="1"/>
                <w:color w:val="auto"/>
              </w:rPr>
              <w:t>net</w:t>
            </w:r>
          </w:p>
        </w:tc>
        <w:tc>
          <w:tcPr>
            <w:tcW w:w="8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14"/>
        </w:trPr>
        <w:tc>
          <w:tcPr>
            <w:tcW w:w="2000" w:type="dxa"/>
            <w:vAlign w:val="bottom"/>
            <w:vMerge w:val="restart"/>
          </w:tcPr>
          <w:p>
            <w:pPr>
              <w:ind w:left="140"/>
              <w:spacing w:after="0"/>
              <w:rPr>
                <w:sz w:val="20"/>
                <w:szCs w:val="20"/>
                <w:color w:val="auto"/>
              </w:rPr>
            </w:pPr>
            <w:r>
              <w:rPr>
                <w:rFonts w:ascii="Times New Roman" w:cs="Times New Roman" w:eastAsia="Times New Roman" w:hAnsi="Times New Roman"/>
                <w:sz w:val="13"/>
                <w:szCs w:val="13"/>
                <w:color w:val="auto"/>
              </w:rPr>
              <w:t>Net lease 1</w:t>
            </w:r>
          </w:p>
        </w:tc>
        <w:tc>
          <w:tcPr>
            <w:tcW w:w="80" w:type="dxa"/>
            <w:vAlign w:val="bottom"/>
          </w:tcPr>
          <w:p>
            <w:pPr>
              <w:spacing w:after="0"/>
              <w:rPr>
                <w:sz w:val="9"/>
                <w:szCs w:val="9"/>
                <w:color w:val="auto"/>
              </w:rPr>
            </w:pPr>
          </w:p>
        </w:tc>
        <w:tc>
          <w:tcPr>
            <w:tcW w:w="8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56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3"/>
                <w:szCs w:val="13"/>
                <w:color w:val="auto"/>
              </w:rPr>
              <w:t>Non-recourse</w:t>
            </w:r>
          </w:p>
        </w:tc>
        <w:tc>
          <w:tcPr>
            <w:tcW w:w="900" w:type="dxa"/>
            <w:vAlign w:val="bottom"/>
          </w:tcPr>
          <w:p>
            <w:pPr>
              <w:jc w:val="center"/>
              <w:spacing w:after="0"/>
              <w:rPr>
                <w:sz w:val="20"/>
                <w:szCs w:val="20"/>
                <w:color w:val="auto"/>
              </w:rPr>
            </w:pPr>
            <w:r>
              <w:rPr>
                <w:rFonts w:ascii="Times New Roman" w:cs="Times New Roman" w:eastAsia="Times New Roman" w:hAnsi="Times New Roman"/>
                <w:sz w:val="9"/>
                <w:szCs w:val="9"/>
                <w:color w:val="auto"/>
                <w:w w:val="94"/>
              </w:rPr>
              <w:t>(5)</w:t>
            </w:r>
          </w:p>
        </w:tc>
        <w:tc>
          <w:tcPr>
            <w:tcW w:w="100" w:type="dxa"/>
            <w:vAlign w:val="bottom"/>
          </w:tcPr>
          <w:p>
            <w:pPr>
              <w:spacing w:after="0"/>
              <w:rPr>
                <w:sz w:val="9"/>
                <w:szCs w:val="9"/>
                <w:color w:val="auto"/>
              </w:rPr>
            </w:pPr>
          </w:p>
        </w:tc>
        <w:tc>
          <w:tcPr>
            <w:tcW w:w="1220" w:type="dxa"/>
            <w:vAlign w:val="bottom"/>
          </w:tcPr>
          <w:p>
            <w:pPr>
              <w:jc w:val="center"/>
              <w:spacing w:after="0"/>
              <w:rPr>
                <w:sz w:val="20"/>
                <w:szCs w:val="20"/>
                <w:color w:val="auto"/>
              </w:rPr>
            </w:pPr>
            <w:r>
              <w:rPr>
                <w:rFonts w:ascii="Times New Roman" w:cs="Times New Roman" w:eastAsia="Times New Roman" w:hAnsi="Times New Roman"/>
                <w:sz w:val="9"/>
                <w:szCs w:val="9"/>
                <w:color w:val="auto"/>
                <w:w w:val="94"/>
              </w:rPr>
              <w:t>(5)</w:t>
            </w:r>
          </w:p>
        </w:tc>
        <w:tc>
          <w:tcPr>
            <w:tcW w:w="400" w:type="dxa"/>
            <w:vAlign w:val="bottom"/>
          </w:tcPr>
          <w:p>
            <w:pPr>
              <w:spacing w:after="0"/>
              <w:rPr>
                <w:sz w:val="9"/>
                <w:szCs w:val="9"/>
                <w:color w:val="auto"/>
              </w:rPr>
            </w:pPr>
          </w:p>
        </w:tc>
        <w:tc>
          <w:tcPr>
            <w:tcW w:w="140" w:type="dxa"/>
            <w:vAlign w:val="bottom"/>
          </w:tcPr>
          <w:p>
            <w:pPr>
              <w:spacing w:after="0"/>
              <w:rPr>
                <w:sz w:val="9"/>
                <w:szCs w:val="9"/>
                <w:color w:val="auto"/>
              </w:rPr>
            </w:pPr>
          </w:p>
        </w:tc>
        <w:tc>
          <w:tcPr>
            <w:tcW w:w="9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9"/>
                <w:szCs w:val="9"/>
                <w:color w:val="auto"/>
              </w:rPr>
            </w:pPr>
          </w:p>
        </w:tc>
        <w:tc>
          <w:tcPr>
            <w:tcW w:w="9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9"/>
                <w:szCs w:val="9"/>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200,000</w:t>
            </w:r>
          </w:p>
        </w:tc>
        <w:tc>
          <w:tcPr>
            <w:tcW w:w="80" w:type="dxa"/>
            <w:vAlign w:val="bottom"/>
          </w:tcPr>
          <w:p>
            <w:pPr>
              <w:spacing w:after="0"/>
              <w:rPr>
                <w:sz w:val="9"/>
                <w:szCs w:val="9"/>
                <w:color w:val="auto"/>
              </w:rPr>
            </w:pPr>
          </w:p>
        </w:tc>
        <w:tc>
          <w:tcPr>
            <w:tcW w:w="160" w:type="dxa"/>
            <w:vAlign w:val="bottom"/>
          </w:tcPr>
          <w:p>
            <w:pPr>
              <w:spacing w:after="0"/>
              <w:rPr>
                <w:sz w:val="9"/>
                <w:szCs w:val="9"/>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199,068</w:t>
            </w:r>
          </w:p>
        </w:tc>
        <w:tc>
          <w:tcPr>
            <w:tcW w:w="0" w:type="dxa"/>
            <w:vAlign w:val="bottom"/>
          </w:tcPr>
          <w:p>
            <w:pPr>
              <w:spacing w:after="0"/>
              <w:rPr>
                <w:sz w:val="1"/>
                <w:szCs w:val="1"/>
                <w:color w:val="auto"/>
              </w:rPr>
            </w:pPr>
          </w:p>
        </w:tc>
      </w:tr>
      <w:tr>
        <w:trPr>
          <w:trHeight w:val="81"/>
        </w:trPr>
        <w:tc>
          <w:tcPr>
            <w:tcW w:w="2000" w:type="dxa"/>
            <w:vAlign w:val="bottom"/>
            <w:vMerge w:val="continue"/>
          </w:tcPr>
          <w:p>
            <w:pPr>
              <w:spacing w:after="0"/>
              <w:rPr>
                <w:sz w:val="7"/>
                <w:szCs w:val="7"/>
                <w:color w:val="auto"/>
              </w:rPr>
            </w:pPr>
          </w:p>
        </w:tc>
        <w:tc>
          <w:tcPr>
            <w:tcW w:w="80" w:type="dxa"/>
            <w:vAlign w:val="bottom"/>
          </w:tcPr>
          <w:p>
            <w:pPr>
              <w:spacing w:after="0"/>
              <w:rPr>
                <w:sz w:val="7"/>
                <w:szCs w:val="7"/>
                <w:color w:val="auto"/>
              </w:rPr>
            </w:pPr>
          </w:p>
        </w:tc>
        <w:tc>
          <w:tcPr>
            <w:tcW w:w="8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560" w:type="dxa"/>
            <w:vAlign w:val="bottom"/>
            <w:gridSpan w:val="2"/>
            <w:vMerge w:val="continue"/>
          </w:tcPr>
          <w:p>
            <w:pPr>
              <w:spacing w:after="0"/>
              <w:rPr>
                <w:sz w:val="7"/>
                <w:szCs w:val="7"/>
                <w:color w:val="auto"/>
              </w:rPr>
            </w:pPr>
          </w:p>
        </w:tc>
        <w:tc>
          <w:tcPr>
            <w:tcW w:w="900" w:type="dxa"/>
            <w:vAlign w:val="bottom"/>
          </w:tcPr>
          <w:p>
            <w:pPr>
              <w:spacing w:after="0"/>
              <w:rPr>
                <w:sz w:val="7"/>
                <w:szCs w:val="7"/>
                <w:color w:val="auto"/>
              </w:rPr>
            </w:pPr>
          </w:p>
        </w:tc>
        <w:tc>
          <w:tcPr>
            <w:tcW w:w="100" w:type="dxa"/>
            <w:vAlign w:val="bottom"/>
          </w:tcPr>
          <w:p>
            <w:pPr>
              <w:spacing w:after="0"/>
              <w:rPr>
                <w:sz w:val="7"/>
                <w:szCs w:val="7"/>
                <w:color w:val="auto"/>
              </w:rPr>
            </w:pPr>
          </w:p>
        </w:tc>
        <w:tc>
          <w:tcPr>
            <w:tcW w:w="1220" w:type="dxa"/>
            <w:vAlign w:val="bottom"/>
          </w:tcPr>
          <w:p>
            <w:pPr>
              <w:spacing w:after="0"/>
              <w:rPr>
                <w:sz w:val="7"/>
                <w:szCs w:val="7"/>
                <w:color w:val="auto"/>
              </w:rPr>
            </w:pPr>
          </w:p>
        </w:tc>
        <w:tc>
          <w:tcPr>
            <w:tcW w:w="400" w:type="dxa"/>
            <w:vAlign w:val="bottom"/>
          </w:tcPr>
          <w:p>
            <w:pPr>
              <w:spacing w:after="0"/>
              <w:rPr>
                <w:sz w:val="7"/>
                <w:szCs w:val="7"/>
                <w:color w:val="auto"/>
              </w:rPr>
            </w:pPr>
          </w:p>
        </w:tc>
        <w:tc>
          <w:tcPr>
            <w:tcW w:w="140" w:type="dxa"/>
            <w:vAlign w:val="bottom"/>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140" w:type="dxa"/>
            <w:vAlign w:val="bottom"/>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140" w:type="dxa"/>
            <w:vAlign w:val="bottom"/>
          </w:tcPr>
          <w:p>
            <w:pPr>
              <w:spacing w:after="0"/>
              <w:rPr>
                <w:sz w:val="7"/>
                <w:szCs w:val="7"/>
                <w:color w:val="auto"/>
              </w:rPr>
            </w:pPr>
          </w:p>
        </w:tc>
        <w:tc>
          <w:tcPr>
            <w:tcW w:w="820" w:type="dxa"/>
            <w:vAlign w:val="bottom"/>
            <w:vMerge w:val="continue"/>
          </w:tcPr>
          <w:p>
            <w:pPr>
              <w:spacing w:after="0"/>
              <w:rPr>
                <w:sz w:val="7"/>
                <w:szCs w:val="7"/>
                <w:color w:val="auto"/>
              </w:rPr>
            </w:pPr>
          </w:p>
        </w:tc>
        <w:tc>
          <w:tcPr>
            <w:tcW w:w="80" w:type="dxa"/>
            <w:vAlign w:val="bottom"/>
          </w:tcPr>
          <w:p>
            <w:pPr>
              <w:spacing w:after="0"/>
              <w:rPr>
                <w:sz w:val="7"/>
                <w:szCs w:val="7"/>
                <w:color w:val="auto"/>
              </w:rPr>
            </w:pPr>
          </w:p>
        </w:tc>
        <w:tc>
          <w:tcPr>
            <w:tcW w:w="16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09"/>
        </w:trPr>
        <w:tc>
          <w:tcPr>
            <w:tcW w:w="2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Net lease 3</w:t>
            </w:r>
            <w:r>
              <w:rPr>
                <w:rFonts w:ascii="Times New Roman" w:cs="Times New Roman" w:eastAsia="Times New Roman" w:hAnsi="Times New Roman"/>
                <w:sz w:val="17"/>
                <w:szCs w:val="17"/>
                <w:color w:val="auto"/>
                <w:vertAlign w:val="superscript"/>
              </w:rPr>
              <w:t>(6)</w:t>
            </w: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3"/>
                <w:szCs w:val="13"/>
                <w:color w:val="auto"/>
              </w:rPr>
              <w:t>Non-recourse</w:t>
            </w:r>
          </w:p>
        </w:tc>
        <w:tc>
          <w:tcPr>
            <w:tcW w:w="100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3"/>
                <w:szCs w:val="13"/>
                <w:color w:val="auto"/>
              </w:rPr>
              <w:t>Aug-26</w:t>
            </w:r>
          </w:p>
        </w:tc>
        <w:tc>
          <w:tcPr>
            <w:tcW w:w="12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4.08%</w:t>
            </w: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27,465</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27,465</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27,958</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27,928</w:t>
            </w:r>
          </w:p>
        </w:tc>
        <w:tc>
          <w:tcPr>
            <w:tcW w:w="0" w:type="dxa"/>
            <w:vAlign w:val="bottom"/>
          </w:tcPr>
          <w:p>
            <w:pPr>
              <w:spacing w:after="0"/>
              <w:rPr>
                <w:sz w:val="1"/>
                <w:szCs w:val="1"/>
                <w:color w:val="auto"/>
              </w:rPr>
            </w:pPr>
          </w:p>
        </w:tc>
      </w:tr>
      <w:tr>
        <w:trPr>
          <w:trHeight w:val="196"/>
        </w:trPr>
        <w:tc>
          <w:tcPr>
            <w:tcW w:w="200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Net lease 4</w:t>
            </w: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6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color w:val="auto"/>
              </w:rPr>
              <w:t>Non-recourse</w:t>
            </w:r>
          </w:p>
        </w:tc>
        <w:tc>
          <w:tcPr>
            <w:tcW w:w="100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color w:val="auto"/>
              </w:rPr>
              <w:t>Oct-27</w:t>
            </w:r>
          </w:p>
        </w:tc>
        <w:tc>
          <w:tcPr>
            <w:tcW w:w="122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4.45%</w:t>
            </w:r>
          </w:p>
        </w:tc>
        <w:tc>
          <w:tcPr>
            <w:tcW w:w="4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20,221</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20,221</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20,730</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20,730</w:t>
            </w:r>
          </w:p>
        </w:tc>
        <w:tc>
          <w:tcPr>
            <w:tcW w:w="0" w:type="dxa"/>
            <w:vAlign w:val="bottom"/>
          </w:tcPr>
          <w:p>
            <w:pPr>
              <w:spacing w:after="0"/>
              <w:rPr>
                <w:sz w:val="1"/>
                <w:szCs w:val="1"/>
                <w:color w:val="auto"/>
              </w:rPr>
            </w:pPr>
          </w:p>
        </w:tc>
      </w:tr>
      <w:tr>
        <w:trPr>
          <w:trHeight w:val="209"/>
        </w:trPr>
        <w:tc>
          <w:tcPr>
            <w:tcW w:w="2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Net lease 5</w:t>
            </w:r>
            <w:r>
              <w:rPr>
                <w:rFonts w:ascii="Times New Roman" w:cs="Times New Roman" w:eastAsia="Times New Roman" w:hAnsi="Times New Roman"/>
                <w:sz w:val="17"/>
                <w:szCs w:val="17"/>
                <w:color w:val="auto"/>
                <w:vertAlign w:val="superscript"/>
              </w:rPr>
              <w:t>(7)(8)</w:t>
            </w: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3"/>
                <w:szCs w:val="13"/>
                <w:color w:val="auto"/>
              </w:rPr>
              <w:t>Non-recourse</w:t>
            </w:r>
          </w:p>
        </w:tc>
        <w:tc>
          <w:tcPr>
            <w:tcW w:w="100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3"/>
                <w:szCs w:val="13"/>
                <w:color w:val="auto"/>
              </w:rPr>
              <w:t>Nov-26</w:t>
            </w:r>
          </w:p>
        </w:tc>
        <w:tc>
          <w:tcPr>
            <w:tcW w:w="12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4.45%</w:t>
            </w: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15,878</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15,857</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16,222</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16,153</w:t>
            </w:r>
          </w:p>
        </w:tc>
        <w:tc>
          <w:tcPr>
            <w:tcW w:w="0" w:type="dxa"/>
            <w:vAlign w:val="bottom"/>
          </w:tcPr>
          <w:p>
            <w:pPr>
              <w:spacing w:after="0"/>
              <w:rPr>
                <w:sz w:val="1"/>
                <w:szCs w:val="1"/>
                <w:color w:val="auto"/>
              </w:rPr>
            </w:pPr>
          </w:p>
        </w:tc>
      </w:tr>
      <w:tr>
        <w:trPr>
          <w:trHeight w:val="203"/>
        </w:trPr>
        <w:tc>
          <w:tcPr>
            <w:tcW w:w="200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Net lease 5</w:t>
            </w:r>
            <w:r>
              <w:rPr>
                <w:rFonts w:ascii="Times New Roman" w:cs="Times New Roman" w:eastAsia="Times New Roman" w:hAnsi="Times New Roman"/>
                <w:sz w:val="17"/>
                <w:szCs w:val="17"/>
                <w:color w:val="auto"/>
                <w:vertAlign w:val="superscript"/>
              </w:rPr>
              <w:t>(9)</w:t>
            </w: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6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color w:val="auto"/>
              </w:rPr>
              <w:t>Non-recourse</w:t>
            </w:r>
          </w:p>
        </w:tc>
        <w:tc>
          <w:tcPr>
            <w:tcW w:w="100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color w:val="auto"/>
              </w:rPr>
              <w:t>Mar-28</w:t>
            </w:r>
          </w:p>
        </w:tc>
        <w:tc>
          <w:tcPr>
            <w:tcW w:w="122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7.25%</w:t>
            </w:r>
          </w:p>
        </w:tc>
        <w:tc>
          <w:tcPr>
            <w:tcW w:w="4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10,651</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10,214</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10,800</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10,362</w:t>
            </w:r>
          </w:p>
        </w:tc>
        <w:tc>
          <w:tcPr>
            <w:tcW w:w="0" w:type="dxa"/>
            <w:vAlign w:val="bottom"/>
          </w:tcPr>
          <w:p>
            <w:pPr>
              <w:spacing w:after="0"/>
              <w:rPr>
                <w:sz w:val="1"/>
                <w:szCs w:val="1"/>
                <w:color w:val="auto"/>
              </w:rPr>
            </w:pPr>
          </w:p>
        </w:tc>
      </w:tr>
      <w:tr>
        <w:trPr>
          <w:trHeight w:val="203"/>
        </w:trPr>
        <w:tc>
          <w:tcPr>
            <w:tcW w:w="2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Net lease 6</w:t>
            </w:r>
            <w:r>
              <w:rPr>
                <w:rFonts w:ascii="Times New Roman" w:cs="Times New Roman" w:eastAsia="Times New Roman" w:hAnsi="Times New Roman"/>
                <w:sz w:val="17"/>
                <w:szCs w:val="17"/>
                <w:color w:val="auto"/>
                <w:vertAlign w:val="superscript"/>
              </w:rPr>
              <w:t>(8)</w:t>
            </w: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56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3"/>
                <w:szCs w:val="13"/>
                <w:color w:val="auto"/>
              </w:rPr>
              <w:t>Non-recourse</w:t>
            </w:r>
          </w:p>
        </w:tc>
        <w:tc>
          <w:tcPr>
            <w:tcW w:w="100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3"/>
                <w:szCs w:val="13"/>
                <w:color w:val="auto"/>
              </w:rPr>
              <w:t>Nov-26</w:t>
            </w:r>
          </w:p>
        </w:tc>
        <w:tc>
          <w:tcPr>
            <w:tcW w:w="12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4.45%</w:t>
            </w:r>
          </w:p>
        </w:tc>
        <w:tc>
          <w:tcPr>
            <w:tcW w:w="4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6,308</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6,302</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6,445</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6,418</w:t>
            </w:r>
          </w:p>
        </w:tc>
        <w:tc>
          <w:tcPr>
            <w:tcW w:w="0" w:type="dxa"/>
            <w:vAlign w:val="bottom"/>
          </w:tcPr>
          <w:p>
            <w:pPr>
              <w:spacing w:after="0"/>
              <w:rPr>
                <w:sz w:val="1"/>
                <w:szCs w:val="1"/>
                <w:color w:val="auto"/>
              </w:rPr>
            </w:pPr>
          </w:p>
        </w:tc>
      </w:tr>
      <w:tr>
        <w:trPr>
          <w:trHeight w:val="203"/>
        </w:trPr>
        <w:tc>
          <w:tcPr>
            <w:tcW w:w="200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Net lease 8</w:t>
            </w:r>
            <w:r>
              <w:rPr>
                <w:rFonts w:ascii="Times New Roman" w:cs="Times New Roman" w:eastAsia="Times New Roman" w:hAnsi="Times New Roman"/>
                <w:sz w:val="17"/>
                <w:szCs w:val="17"/>
                <w:color w:val="auto"/>
                <w:vertAlign w:val="superscript"/>
              </w:rPr>
              <w:t>(8)</w:t>
            </w: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6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color w:val="auto"/>
              </w:rPr>
              <w:t>Non-recourse</w:t>
            </w:r>
          </w:p>
        </w:tc>
        <w:tc>
          <w:tcPr>
            <w:tcW w:w="100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color w:val="auto"/>
              </w:rPr>
              <w:t>Nov-26</w:t>
            </w:r>
          </w:p>
        </w:tc>
        <w:tc>
          <w:tcPr>
            <w:tcW w:w="122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4.45%</w:t>
            </w:r>
          </w:p>
        </w:tc>
        <w:tc>
          <w:tcPr>
            <w:tcW w:w="4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2,924</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2,916</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2,987</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2,975</w:t>
            </w:r>
          </w:p>
        </w:tc>
        <w:tc>
          <w:tcPr>
            <w:tcW w:w="0" w:type="dxa"/>
            <w:vAlign w:val="bottom"/>
          </w:tcPr>
          <w:p>
            <w:pPr>
              <w:spacing w:after="0"/>
              <w:rPr>
                <w:sz w:val="1"/>
                <w:szCs w:val="1"/>
                <w:color w:val="auto"/>
              </w:rPr>
            </w:pPr>
          </w:p>
        </w:tc>
      </w:tr>
      <w:tr>
        <w:trPr>
          <w:trHeight w:val="203"/>
        </w:trPr>
        <w:tc>
          <w:tcPr>
            <w:tcW w:w="2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Other real estate 1</w:t>
            </w: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56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3"/>
                <w:szCs w:val="13"/>
                <w:color w:val="auto"/>
              </w:rPr>
              <w:t>Non-recourse</w:t>
            </w:r>
          </w:p>
        </w:tc>
        <w:tc>
          <w:tcPr>
            <w:tcW w:w="100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3"/>
                <w:szCs w:val="13"/>
                <w:color w:val="auto"/>
                <w:w w:val="94"/>
              </w:rPr>
              <w:t>Dec-28</w:t>
            </w:r>
            <w:r>
              <w:rPr>
                <w:rFonts w:ascii="Times New Roman" w:cs="Times New Roman" w:eastAsia="Times New Roman" w:hAnsi="Times New Roman"/>
                <w:sz w:val="17"/>
                <w:szCs w:val="17"/>
                <w:color w:val="auto"/>
                <w:w w:val="94"/>
                <w:vertAlign w:val="superscript"/>
              </w:rPr>
              <w:t>(10)</w:t>
            </w:r>
          </w:p>
        </w:tc>
        <w:tc>
          <w:tcPr>
            <w:tcW w:w="12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4.47%</w:t>
            </w:r>
          </w:p>
        </w:tc>
        <w:tc>
          <w:tcPr>
            <w:tcW w:w="4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95,413</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94,666</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97,082</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96,348</w:t>
            </w:r>
          </w:p>
        </w:tc>
        <w:tc>
          <w:tcPr>
            <w:tcW w:w="0" w:type="dxa"/>
            <w:vAlign w:val="bottom"/>
          </w:tcPr>
          <w:p>
            <w:pPr>
              <w:spacing w:after="0"/>
              <w:rPr>
                <w:sz w:val="1"/>
                <w:szCs w:val="1"/>
                <w:color w:val="auto"/>
              </w:rPr>
            </w:pPr>
          </w:p>
        </w:tc>
      </w:tr>
      <w:tr>
        <w:trPr>
          <w:trHeight w:val="203"/>
        </w:trPr>
        <w:tc>
          <w:tcPr>
            <w:tcW w:w="20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3"/>
                <w:szCs w:val="13"/>
                <w:color w:val="auto"/>
              </w:rPr>
              <w:t>Loan 1</w:t>
            </w:r>
            <w:r>
              <w:rPr>
                <w:rFonts w:ascii="Times New Roman" w:cs="Times New Roman" w:eastAsia="Times New Roman" w:hAnsi="Times New Roman"/>
                <w:sz w:val="17"/>
                <w:szCs w:val="17"/>
                <w:color w:val="auto"/>
                <w:vertAlign w:val="superscript"/>
              </w:rPr>
              <w:t>(11)</w:t>
            </w:r>
          </w:p>
        </w:tc>
        <w:tc>
          <w:tcPr>
            <w:tcW w:w="80" w:type="dxa"/>
            <w:vAlign w:val="bottom"/>
            <w:tcBorders>
              <w:bottom w:val="single" w:sz="8" w:color="CCEEFF"/>
            </w:tcBorders>
          </w:tcPr>
          <w:p>
            <w:pPr>
              <w:spacing w:after="0"/>
              <w:rPr>
                <w:sz w:val="17"/>
                <w:szCs w:val="17"/>
                <w:color w:val="auto"/>
              </w:rPr>
            </w:pPr>
          </w:p>
        </w:tc>
        <w:tc>
          <w:tcPr>
            <w:tcW w:w="82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560" w:type="dxa"/>
            <w:vAlign w:val="bottom"/>
            <w:tcBorders>
              <w:bottom w:val="single" w:sz="8" w:color="CCEEFF"/>
            </w:tcBorders>
            <w:gridSpan w:val="2"/>
          </w:tcPr>
          <w:p>
            <w:pPr>
              <w:jc w:val="center"/>
              <w:ind w:right="100"/>
              <w:spacing w:after="0"/>
              <w:rPr>
                <w:sz w:val="20"/>
                <w:szCs w:val="20"/>
                <w:color w:val="auto"/>
              </w:rPr>
            </w:pPr>
            <w:r>
              <w:rPr>
                <w:rFonts w:ascii="Times New Roman" w:cs="Times New Roman" w:eastAsia="Times New Roman" w:hAnsi="Times New Roman"/>
                <w:sz w:val="13"/>
                <w:szCs w:val="13"/>
                <w:color w:val="auto"/>
              </w:rPr>
              <w:t>Non-recourse</w:t>
            </w:r>
          </w:p>
        </w:tc>
        <w:tc>
          <w:tcPr>
            <w:tcW w:w="1000" w:type="dxa"/>
            <w:vAlign w:val="bottom"/>
            <w:tcBorders>
              <w:bottom w:val="single" w:sz="8" w:color="CCEEFF"/>
            </w:tcBorders>
            <w:gridSpan w:val="2"/>
          </w:tcPr>
          <w:p>
            <w:pPr>
              <w:jc w:val="center"/>
              <w:ind w:right="120"/>
              <w:spacing w:after="0"/>
              <w:rPr>
                <w:sz w:val="20"/>
                <w:szCs w:val="20"/>
                <w:color w:val="auto"/>
              </w:rPr>
            </w:pPr>
            <w:r>
              <w:rPr>
                <w:rFonts w:ascii="Times New Roman" w:cs="Times New Roman" w:eastAsia="Times New Roman" w:hAnsi="Times New Roman"/>
                <w:sz w:val="13"/>
                <w:szCs w:val="13"/>
                <w:color w:val="auto"/>
                <w:w w:val="93"/>
              </w:rPr>
              <w:t>Jul-28</w:t>
            </w:r>
            <w:r>
              <w:rPr>
                <w:rFonts w:ascii="Times New Roman" w:cs="Times New Roman" w:eastAsia="Times New Roman" w:hAnsi="Times New Roman"/>
                <w:sz w:val="17"/>
                <w:szCs w:val="17"/>
                <w:color w:val="auto"/>
                <w:w w:val="93"/>
                <w:vertAlign w:val="superscript"/>
              </w:rPr>
              <w:t>(11)</w:t>
            </w:r>
          </w:p>
        </w:tc>
        <w:tc>
          <w:tcPr>
            <w:tcW w:w="1220" w:type="dxa"/>
            <w:vAlign w:val="bottom"/>
            <w:tcBorders>
              <w:bottom w:val="single" w:sz="8" w:color="CCEEFF"/>
            </w:tcBorders>
          </w:tcPr>
          <w:p>
            <w:pPr>
              <w:jc w:val="center"/>
              <w:spacing w:after="0"/>
              <w:rPr>
                <w:sz w:val="20"/>
                <w:szCs w:val="20"/>
                <w:color w:val="auto"/>
              </w:rPr>
            </w:pPr>
            <w:r>
              <w:rPr>
                <w:rFonts w:ascii="Times New Roman" w:cs="Times New Roman" w:eastAsia="Times New Roman" w:hAnsi="Times New Roman"/>
                <w:sz w:val="13"/>
                <w:szCs w:val="13"/>
                <w:color w:val="auto"/>
              </w:rPr>
              <w:t>5.50%</w:t>
            </w:r>
          </w:p>
        </w:tc>
        <w:tc>
          <w:tcPr>
            <w:tcW w:w="4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33,347</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33,347</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34,078</w:t>
            </w:r>
          </w:p>
        </w:tc>
        <w:tc>
          <w:tcPr>
            <w:tcW w:w="8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34,078</w:t>
            </w:r>
          </w:p>
        </w:tc>
        <w:tc>
          <w:tcPr>
            <w:tcW w:w="0" w:type="dxa"/>
            <w:vAlign w:val="bottom"/>
          </w:tcPr>
          <w:p>
            <w:pPr>
              <w:spacing w:after="0"/>
              <w:rPr>
                <w:sz w:val="1"/>
                <w:szCs w:val="1"/>
                <w:color w:val="auto"/>
              </w:rPr>
            </w:pPr>
          </w:p>
        </w:tc>
      </w:tr>
      <w:tr>
        <w:trPr>
          <w:trHeight w:val="128"/>
        </w:trPr>
        <w:tc>
          <w:tcPr>
            <w:tcW w:w="2000" w:type="dxa"/>
            <w:vAlign w:val="bottom"/>
            <w:shd w:val="clear" w:color="auto" w:fill="CCEEFF"/>
          </w:tcPr>
          <w:p>
            <w:pPr>
              <w:ind w:left="20"/>
              <w:spacing w:after="0" w:line="129" w:lineRule="exact"/>
              <w:rPr>
                <w:sz w:val="20"/>
                <w:szCs w:val="20"/>
                <w:color w:val="auto"/>
              </w:rPr>
            </w:pPr>
            <w:r>
              <w:rPr>
                <w:rFonts w:ascii="Times New Roman" w:cs="Times New Roman" w:eastAsia="Times New Roman" w:hAnsi="Times New Roman"/>
                <w:sz w:val="13"/>
                <w:szCs w:val="13"/>
                <w:b w:val="1"/>
                <w:bCs w:val="1"/>
                <w:color w:val="auto"/>
              </w:rPr>
              <w:t>Subtotal mortgage and other</w:t>
            </w:r>
          </w:p>
        </w:tc>
        <w:tc>
          <w:tcPr>
            <w:tcW w:w="8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2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212,207</w:t>
            </w: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210,988</w:t>
            </w: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416,302</w:t>
            </w: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414,060</w:t>
            </w:r>
          </w:p>
        </w:tc>
        <w:tc>
          <w:tcPr>
            <w:tcW w:w="0" w:type="dxa"/>
            <w:vAlign w:val="bottom"/>
          </w:tcPr>
          <w:p>
            <w:pPr>
              <w:spacing w:after="0"/>
              <w:rPr>
                <w:sz w:val="1"/>
                <w:szCs w:val="1"/>
                <w:color w:val="auto"/>
              </w:rPr>
            </w:pPr>
          </w:p>
        </w:tc>
      </w:tr>
      <w:tr>
        <w:trPr>
          <w:trHeight w:val="189"/>
        </w:trPr>
        <w:tc>
          <w:tcPr>
            <w:tcW w:w="2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notes payable, net</w:t>
            </w:r>
          </w:p>
        </w:tc>
        <w:tc>
          <w:tcPr>
            <w:tcW w:w="8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2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8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48"/>
        </w:trPr>
        <w:tc>
          <w:tcPr>
            <w:tcW w:w="20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2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i w:val="1"/>
                <w:iCs w:val="1"/>
                <w:color w:val="auto"/>
              </w:rPr>
              <w:t>Bank credit facility</w:t>
            </w: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3"/>
                <w:szCs w:val="13"/>
                <w:color w:val="auto"/>
              </w:rPr>
              <w:t>Bank credit facility</w:t>
            </w:r>
          </w:p>
        </w:tc>
        <w:tc>
          <w:tcPr>
            <w:tcW w:w="8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3"/>
                <w:szCs w:val="13"/>
                <w:color w:val="auto"/>
              </w:rPr>
              <w:t>120,000</w:t>
            </w:r>
          </w:p>
        </w:tc>
        <w:tc>
          <w:tcPr>
            <w:tcW w:w="100" w:type="dxa"/>
            <w:vAlign w:val="bottom"/>
            <w:tcBorders>
              <w:bottom w:val="single" w:sz="8" w:color="CCEEFF"/>
            </w:tcBorders>
          </w:tcPr>
          <w:p>
            <w:pPr>
              <w:spacing w:after="0"/>
              <w:rPr>
                <w:sz w:val="17"/>
                <w:szCs w:val="17"/>
                <w:color w:val="auto"/>
              </w:rPr>
            </w:pPr>
          </w:p>
        </w:tc>
        <w:tc>
          <w:tcPr>
            <w:tcW w:w="1560" w:type="dxa"/>
            <w:vAlign w:val="bottom"/>
            <w:tcBorders>
              <w:bottom w:val="single" w:sz="8" w:color="CCEEFF"/>
            </w:tcBorders>
            <w:gridSpan w:val="2"/>
          </w:tcPr>
          <w:p>
            <w:pPr>
              <w:jc w:val="center"/>
              <w:ind w:right="100"/>
              <w:spacing w:after="0"/>
              <w:rPr>
                <w:sz w:val="20"/>
                <w:szCs w:val="20"/>
                <w:color w:val="auto"/>
              </w:rPr>
            </w:pPr>
            <w:r>
              <w:rPr>
                <w:rFonts w:ascii="Times New Roman" w:cs="Times New Roman" w:eastAsia="Times New Roman" w:hAnsi="Times New Roman"/>
                <w:sz w:val="13"/>
                <w:szCs w:val="13"/>
                <w:color w:val="auto"/>
              </w:rPr>
              <w:t>Recourse</w:t>
            </w:r>
          </w:p>
        </w:tc>
        <w:tc>
          <w:tcPr>
            <w:tcW w:w="1000" w:type="dxa"/>
            <w:vAlign w:val="bottom"/>
            <w:tcBorders>
              <w:bottom w:val="single" w:sz="8" w:color="CCEEFF"/>
            </w:tcBorders>
            <w:gridSpan w:val="2"/>
          </w:tcPr>
          <w:p>
            <w:pPr>
              <w:jc w:val="center"/>
              <w:ind w:right="100"/>
              <w:spacing w:after="0"/>
              <w:rPr>
                <w:sz w:val="20"/>
                <w:szCs w:val="20"/>
                <w:color w:val="auto"/>
              </w:rPr>
            </w:pPr>
            <w:r>
              <w:rPr>
                <w:rFonts w:ascii="Times New Roman" w:cs="Times New Roman" w:eastAsia="Times New Roman" w:hAnsi="Times New Roman"/>
                <w:sz w:val="13"/>
                <w:szCs w:val="13"/>
                <w:color w:val="auto"/>
                <w:w w:val="95"/>
              </w:rPr>
              <w:t xml:space="preserve">Dec-28 </w:t>
            </w:r>
            <w:r>
              <w:rPr>
                <w:rFonts w:ascii="Times New Roman" w:cs="Times New Roman" w:eastAsia="Times New Roman" w:hAnsi="Times New Roman"/>
                <w:sz w:val="17"/>
                <w:szCs w:val="17"/>
                <w:color w:val="auto"/>
                <w:w w:val="95"/>
                <w:vertAlign w:val="superscript"/>
              </w:rPr>
              <w:t>(12)</w:t>
            </w:r>
          </w:p>
        </w:tc>
        <w:tc>
          <w:tcPr>
            <w:tcW w:w="1220" w:type="dxa"/>
            <w:vAlign w:val="bottom"/>
            <w:tcBorders>
              <w:bottom w:val="single" w:sz="8" w:color="CCEEFF"/>
            </w:tcBorders>
          </w:tcPr>
          <w:p>
            <w:pPr>
              <w:jc w:val="center"/>
              <w:spacing w:after="0"/>
              <w:rPr>
                <w:sz w:val="20"/>
                <w:szCs w:val="20"/>
                <w:color w:val="auto"/>
              </w:rPr>
            </w:pPr>
            <w:r>
              <w:rPr>
                <w:rFonts w:ascii="Times New Roman" w:cs="Times New Roman" w:eastAsia="Times New Roman" w:hAnsi="Times New Roman"/>
                <w:sz w:val="13"/>
                <w:szCs w:val="13"/>
                <w:color w:val="auto"/>
              </w:rPr>
              <w:t>SOFR + 2.25%</w:t>
            </w:r>
          </w:p>
        </w:tc>
        <w:tc>
          <w:tcPr>
            <w:tcW w:w="4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45,000</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45,000</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96"/>
        </w:trPr>
        <w:tc>
          <w:tcPr>
            <w:tcW w:w="2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Subtotal bank credit facility</w:t>
            </w: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45,000</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45,000</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49"/>
        </w:trPr>
        <w:tc>
          <w:tcPr>
            <w:tcW w:w="20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2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i w:val="1"/>
                <w:iCs w:val="1"/>
                <w:color w:val="auto"/>
              </w:rPr>
              <w:t>Master repurchase facilities</w:t>
            </w: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0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Bank 1</w:t>
            </w:r>
          </w:p>
        </w:tc>
        <w:tc>
          <w:tcPr>
            <w:tcW w:w="8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600,000</w:t>
            </w:r>
          </w:p>
        </w:tc>
        <w:tc>
          <w:tcPr>
            <w:tcW w:w="100" w:type="dxa"/>
            <w:vAlign w:val="bottom"/>
          </w:tcPr>
          <w:p>
            <w:pPr>
              <w:spacing w:after="0"/>
              <w:rPr>
                <w:sz w:val="17"/>
                <w:szCs w:val="17"/>
                <w:color w:val="auto"/>
              </w:rPr>
            </w:pPr>
          </w:p>
        </w:tc>
        <w:tc>
          <w:tcPr>
            <w:tcW w:w="156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color w:val="auto"/>
                <w:w w:val="98"/>
              </w:rPr>
              <w:t>Limited Recourse</w:t>
            </w:r>
            <w:r>
              <w:rPr>
                <w:rFonts w:ascii="Times New Roman" w:cs="Times New Roman" w:eastAsia="Times New Roman" w:hAnsi="Times New Roman"/>
                <w:sz w:val="17"/>
                <w:szCs w:val="17"/>
                <w:color w:val="auto"/>
                <w:w w:val="98"/>
                <w:vertAlign w:val="superscript"/>
              </w:rPr>
              <w:t>(13)</w:t>
            </w:r>
          </w:p>
        </w:tc>
        <w:tc>
          <w:tcPr>
            <w:tcW w:w="100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color w:val="auto"/>
              </w:rPr>
              <w:t>Oct-28</w:t>
            </w:r>
          </w:p>
        </w:tc>
        <w:tc>
          <w:tcPr>
            <w:tcW w:w="122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SOFR + 1.98%</w:t>
            </w:r>
          </w:p>
        </w:tc>
        <w:tc>
          <w:tcPr>
            <w:tcW w:w="400" w:type="dxa"/>
            <w:vAlign w:val="bottom"/>
          </w:tcPr>
          <w:p>
            <w:pPr>
              <w:jc w:val="right"/>
              <w:ind w:right="62"/>
              <w:spacing w:after="0"/>
              <w:rPr>
                <w:sz w:val="20"/>
                <w:szCs w:val="20"/>
                <w:color w:val="auto"/>
              </w:rPr>
            </w:pPr>
            <w:r>
              <w:rPr>
                <w:rFonts w:ascii="Times New Roman" w:cs="Times New Roman" w:eastAsia="Times New Roman" w:hAnsi="Times New Roman"/>
                <w:sz w:val="11"/>
                <w:szCs w:val="11"/>
                <w:color w:val="auto"/>
              </w:rPr>
              <w:t>(14)</w:t>
            </w:r>
          </w:p>
        </w:tc>
        <w:tc>
          <w:tcPr>
            <w:tcW w:w="14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405,216</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405,216</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433,642</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433,642</w:t>
            </w:r>
          </w:p>
        </w:tc>
        <w:tc>
          <w:tcPr>
            <w:tcW w:w="0" w:type="dxa"/>
            <w:vAlign w:val="bottom"/>
          </w:tcPr>
          <w:p>
            <w:pPr>
              <w:spacing w:after="0"/>
              <w:rPr>
                <w:sz w:val="1"/>
                <w:szCs w:val="1"/>
                <w:color w:val="auto"/>
              </w:rPr>
            </w:pPr>
          </w:p>
        </w:tc>
      </w:tr>
      <w:tr>
        <w:trPr>
          <w:trHeight w:val="202"/>
        </w:trPr>
        <w:tc>
          <w:tcPr>
            <w:tcW w:w="2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Bank 2</w:t>
            </w: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600,000</w:t>
            </w:r>
          </w:p>
        </w:tc>
        <w:tc>
          <w:tcPr>
            <w:tcW w:w="100" w:type="dxa"/>
            <w:vAlign w:val="bottom"/>
            <w:shd w:val="clear" w:color="auto" w:fill="CCEEFF"/>
          </w:tcPr>
          <w:p>
            <w:pPr>
              <w:spacing w:after="0"/>
              <w:rPr>
                <w:sz w:val="17"/>
                <w:szCs w:val="17"/>
                <w:color w:val="auto"/>
              </w:rPr>
            </w:pPr>
          </w:p>
        </w:tc>
        <w:tc>
          <w:tcPr>
            <w:tcW w:w="156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3"/>
                <w:szCs w:val="13"/>
                <w:color w:val="auto"/>
                <w:w w:val="98"/>
              </w:rPr>
              <w:t>Limited Recourse</w:t>
            </w:r>
            <w:r>
              <w:rPr>
                <w:rFonts w:ascii="Times New Roman" w:cs="Times New Roman" w:eastAsia="Times New Roman" w:hAnsi="Times New Roman"/>
                <w:sz w:val="17"/>
                <w:szCs w:val="17"/>
                <w:color w:val="auto"/>
                <w:w w:val="98"/>
                <w:vertAlign w:val="superscript"/>
              </w:rPr>
              <w:t>(13)</w:t>
            </w:r>
          </w:p>
        </w:tc>
        <w:tc>
          <w:tcPr>
            <w:tcW w:w="100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3"/>
                <w:szCs w:val="13"/>
                <w:color w:val="auto"/>
                <w:w w:val="95"/>
              </w:rPr>
              <w:t>Apr-30</w:t>
            </w:r>
            <w:r>
              <w:rPr>
                <w:rFonts w:ascii="Times New Roman" w:cs="Times New Roman" w:eastAsia="Times New Roman" w:hAnsi="Times New Roman"/>
                <w:sz w:val="17"/>
                <w:szCs w:val="17"/>
                <w:color w:val="auto"/>
                <w:w w:val="95"/>
                <w:vertAlign w:val="superscript"/>
              </w:rPr>
              <w:t>(15)</w:t>
            </w:r>
          </w:p>
        </w:tc>
        <w:tc>
          <w:tcPr>
            <w:tcW w:w="12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n/a</w:t>
            </w:r>
          </w:p>
        </w:tc>
        <w:tc>
          <w:tcPr>
            <w:tcW w:w="400" w:type="dxa"/>
            <w:vAlign w:val="bottom"/>
            <w:shd w:val="clear" w:color="auto" w:fill="CCEEFF"/>
          </w:tcPr>
          <w:p>
            <w:pPr>
              <w:jc w:val="right"/>
              <w:ind w:right="62"/>
              <w:spacing w:after="0"/>
              <w:rPr>
                <w:sz w:val="20"/>
                <w:szCs w:val="20"/>
                <w:color w:val="auto"/>
              </w:rPr>
            </w:pPr>
            <w:r>
              <w:rPr>
                <w:rFonts w:ascii="Times New Roman" w:cs="Times New Roman" w:eastAsia="Times New Roman" w:hAnsi="Times New Roman"/>
                <w:sz w:val="11"/>
                <w:szCs w:val="11"/>
                <w:color w:val="auto"/>
              </w:rPr>
              <w:t>(14)</w:t>
            </w:r>
          </w:p>
        </w:tc>
        <w:tc>
          <w:tcPr>
            <w:tcW w:w="14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135,550</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135,550</w:t>
            </w:r>
          </w:p>
        </w:tc>
        <w:tc>
          <w:tcPr>
            <w:tcW w:w="0" w:type="dxa"/>
            <w:vAlign w:val="bottom"/>
          </w:tcPr>
          <w:p>
            <w:pPr>
              <w:spacing w:after="0"/>
              <w:rPr>
                <w:sz w:val="1"/>
                <w:szCs w:val="1"/>
                <w:color w:val="auto"/>
              </w:rPr>
            </w:pPr>
          </w:p>
        </w:tc>
      </w:tr>
      <w:tr>
        <w:trPr>
          <w:trHeight w:val="203"/>
        </w:trPr>
        <w:tc>
          <w:tcPr>
            <w:tcW w:w="200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Bank 3</w:t>
            </w:r>
          </w:p>
        </w:tc>
        <w:tc>
          <w:tcPr>
            <w:tcW w:w="8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500,000</w:t>
            </w:r>
          </w:p>
        </w:tc>
        <w:tc>
          <w:tcPr>
            <w:tcW w:w="100" w:type="dxa"/>
            <w:vAlign w:val="bottom"/>
          </w:tcPr>
          <w:p>
            <w:pPr>
              <w:spacing w:after="0"/>
              <w:rPr>
                <w:sz w:val="17"/>
                <w:szCs w:val="17"/>
                <w:color w:val="auto"/>
              </w:rPr>
            </w:pPr>
          </w:p>
        </w:tc>
        <w:tc>
          <w:tcPr>
            <w:tcW w:w="156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color w:val="auto"/>
                <w:w w:val="98"/>
              </w:rPr>
              <w:t>Limited Recourse</w:t>
            </w:r>
            <w:r>
              <w:rPr>
                <w:rFonts w:ascii="Times New Roman" w:cs="Times New Roman" w:eastAsia="Times New Roman" w:hAnsi="Times New Roman"/>
                <w:sz w:val="17"/>
                <w:szCs w:val="17"/>
                <w:color w:val="auto"/>
                <w:w w:val="98"/>
                <w:vertAlign w:val="superscript"/>
              </w:rPr>
              <w:t>(16)</w:t>
            </w:r>
          </w:p>
        </w:tc>
        <w:tc>
          <w:tcPr>
            <w:tcW w:w="100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color w:val="auto"/>
                <w:w w:val="96"/>
              </w:rPr>
              <w:t>June-30</w:t>
            </w:r>
            <w:r>
              <w:rPr>
                <w:rFonts w:ascii="Times New Roman" w:cs="Times New Roman" w:eastAsia="Times New Roman" w:hAnsi="Times New Roman"/>
                <w:sz w:val="17"/>
                <w:szCs w:val="17"/>
                <w:color w:val="auto"/>
                <w:w w:val="96"/>
                <w:vertAlign w:val="superscript"/>
              </w:rPr>
              <w:t>(17)</w:t>
            </w:r>
          </w:p>
        </w:tc>
        <w:tc>
          <w:tcPr>
            <w:tcW w:w="122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SOFR + 1.74%</w:t>
            </w:r>
          </w:p>
        </w:tc>
        <w:tc>
          <w:tcPr>
            <w:tcW w:w="400" w:type="dxa"/>
            <w:vAlign w:val="bottom"/>
          </w:tcPr>
          <w:p>
            <w:pPr>
              <w:jc w:val="right"/>
              <w:ind w:right="62"/>
              <w:spacing w:after="0"/>
              <w:rPr>
                <w:sz w:val="20"/>
                <w:szCs w:val="20"/>
                <w:color w:val="auto"/>
              </w:rPr>
            </w:pPr>
            <w:r>
              <w:rPr>
                <w:rFonts w:ascii="Times New Roman" w:cs="Times New Roman" w:eastAsia="Times New Roman" w:hAnsi="Times New Roman"/>
                <w:sz w:val="11"/>
                <w:szCs w:val="11"/>
                <w:color w:val="auto"/>
              </w:rPr>
              <w:t>(14)</w:t>
            </w:r>
          </w:p>
        </w:tc>
        <w:tc>
          <w:tcPr>
            <w:tcW w:w="14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223,793</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223,793</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427,899</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427,899</w:t>
            </w:r>
          </w:p>
        </w:tc>
        <w:tc>
          <w:tcPr>
            <w:tcW w:w="0" w:type="dxa"/>
            <w:vAlign w:val="bottom"/>
          </w:tcPr>
          <w:p>
            <w:pPr>
              <w:spacing w:after="0"/>
              <w:rPr>
                <w:sz w:val="1"/>
                <w:szCs w:val="1"/>
                <w:color w:val="auto"/>
              </w:rPr>
            </w:pPr>
          </w:p>
        </w:tc>
      </w:tr>
      <w:tr>
        <w:trPr>
          <w:trHeight w:val="203"/>
        </w:trPr>
        <w:tc>
          <w:tcPr>
            <w:tcW w:w="2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Bank 4</w:t>
            </w: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400,000</w:t>
            </w:r>
          </w:p>
        </w:tc>
        <w:tc>
          <w:tcPr>
            <w:tcW w:w="100" w:type="dxa"/>
            <w:vAlign w:val="bottom"/>
            <w:shd w:val="clear" w:color="auto" w:fill="CCEEFF"/>
          </w:tcPr>
          <w:p>
            <w:pPr>
              <w:spacing w:after="0"/>
              <w:rPr>
                <w:sz w:val="17"/>
                <w:szCs w:val="17"/>
                <w:color w:val="auto"/>
              </w:rPr>
            </w:pPr>
          </w:p>
        </w:tc>
        <w:tc>
          <w:tcPr>
            <w:tcW w:w="156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3"/>
                <w:szCs w:val="13"/>
                <w:color w:val="auto"/>
                <w:w w:val="98"/>
              </w:rPr>
              <w:t>Limited Recourse</w:t>
            </w:r>
            <w:r>
              <w:rPr>
                <w:rFonts w:ascii="Times New Roman" w:cs="Times New Roman" w:eastAsia="Times New Roman" w:hAnsi="Times New Roman"/>
                <w:sz w:val="17"/>
                <w:szCs w:val="17"/>
                <w:color w:val="auto"/>
                <w:w w:val="98"/>
                <w:vertAlign w:val="superscript"/>
              </w:rPr>
              <w:t>(13)</w:t>
            </w:r>
          </w:p>
        </w:tc>
        <w:tc>
          <w:tcPr>
            <w:tcW w:w="100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3"/>
                <w:szCs w:val="13"/>
                <w:color w:val="auto"/>
                <w:w w:val="92"/>
              </w:rPr>
              <w:t>Nov-29</w:t>
            </w:r>
            <w:r>
              <w:rPr>
                <w:rFonts w:ascii="Times New Roman" w:cs="Times New Roman" w:eastAsia="Times New Roman" w:hAnsi="Times New Roman"/>
                <w:sz w:val="17"/>
                <w:szCs w:val="17"/>
                <w:color w:val="auto"/>
                <w:w w:val="92"/>
                <w:vertAlign w:val="superscript"/>
              </w:rPr>
              <w:t>(18)</w:t>
            </w:r>
          </w:p>
        </w:tc>
        <w:tc>
          <w:tcPr>
            <w:tcW w:w="12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SOFR + 1.45%</w:t>
            </w:r>
          </w:p>
        </w:tc>
        <w:tc>
          <w:tcPr>
            <w:tcW w:w="400" w:type="dxa"/>
            <w:vAlign w:val="bottom"/>
            <w:shd w:val="clear" w:color="auto" w:fill="CCEEFF"/>
          </w:tcPr>
          <w:p>
            <w:pPr>
              <w:jc w:val="right"/>
              <w:ind w:right="62"/>
              <w:spacing w:after="0"/>
              <w:rPr>
                <w:sz w:val="20"/>
                <w:szCs w:val="20"/>
                <w:color w:val="auto"/>
              </w:rPr>
            </w:pPr>
            <w:r>
              <w:rPr>
                <w:rFonts w:ascii="Times New Roman" w:cs="Times New Roman" w:eastAsia="Times New Roman" w:hAnsi="Times New Roman"/>
                <w:sz w:val="11"/>
                <w:szCs w:val="11"/>
                <w:color w:val="auto"/>
              </w:rPr>
              <w:t>(14)</w:t>
            </w: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224,752</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224,752</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81,007</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81,007</w:t>
            </w:r>
          </w:p>
        </w:tc>
        <w:tc>
          <w:tcPr>
            <w:tcW w:w="0" w:type="dxa"/>
            <w:vAlign w:val="bottom"/>
          </w:tcPr>
          <w:p>
            <w:pPr>
              <w:spacing w:after="0"/>
              <w:rPr>
                <w:sz w:val="1"/>
                <w:szCs w:val="1"/>
                <w:color w:val="auto"/>
              </w:rPr>
            </w:pPr>
          </w:p>
        </w:tc>
      </w:tr>
      <w:tr>
        <w:trPr>
          <w:trHeight w:val="203"/>
        </w:trPr>
        <w:tc>
          <w:tcPr>
            <w:tcW w:w="200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Bank 5</w:t>
            </w:r>
          </w:p>
        </w:tc>
        <w:tc>
          <w:tcPr>
            <w:tcW w:w="8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250,000</w:t>
            </w:r>
          </w:p>
        </w:tc>
        <w:tc>
          <w:tcPr>
            <w:tcW w:w="100" w:type="dxa"/>
            <w:vAlign w:val="bottom"/>
          </w:tcPr>
          <w:p>
            <w:pPr>
              <w:spacing w:after="0"/>
              <w:rPr>
                <w:sz w:val="17"/>
                <w:szCs w:val="17"/>
                <w:color w:val="auto"/>
              </w:rPr>
            </w:pPr>
          </w:p>
        </w:tc>
        <w:tc>
          <w:tcPr>
            <w:tcW w:w="156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color w:val="auto"/>
                <w:w w:val="98"/>
              </w:rPr>
              <w:t>Limited Recourse</w:t>
            </w:r>
            <w:r>
              <w:rPr>
                <w:rFonts w:ascii="Times New Roman" w:cs="Times New Roman" w:eastAsia="Times New Roman" w:hAnsi="Times New Roman"/>
                <w:sz w:val="17"/>
                <w:szCs w:val="17"/>
                <w:color w:val="auto"/>
                <w:w w:val="98"/>
                <w:vertAlign w:val="superscript"/>
              </w:rPr>
              <w:t>(13)</w:t>
            </w:r>
          </w:p>
        </w:tc>
        <w:tc>
          <w:tcPr>
            <w:tcW w:w="100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color w:val="auto"/>
                <w:w w:val="93"/>
              </w:rPr>
              <w:t>Mar-31</w:t>
            </w:r>
            <w:r>
              <w:rPr>
                <w:rFonts w:ascii="Times New Roman" w:cs="Times New Roman" w:eastAsia="Times New Roman" w:hAnsi="Times New Roman"/>
                <w:sz w:val="17"/>
                <w:szCs w:val="17"/>
                <w:color w:val="auto"/>
                <w:w w:val="93"/>
                <w:vertAlign w:val="superscript"/>
              </w:rPr>
              <w:t>(19)</w:t>
            </w:r>
          </w:p>
        </w:tc>
        <w:tc>
          <w:tcPr>
            <w:tcW w:w="122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SOFR + 1.92%</w:t>
            </w:r>
          </w:p>
        </w:tc>
        <w:tc>
          <w:tcPr>
            <w:tcW w:w="400" w:type="dxa"/>
            <w:vAlign w:val="bottom"/>
          </w:tcPr>
          <w:p>
            <w:pPr>
              <w:jc w:val="right"/>
              <w:ind w:right="62"/>
              <w:spacing w:after="0"/>
              <w:rPr>
                <w:sz w:val="20"/>
                <w:szCs w:val="20"/>
                <w:color w:val="auto"/>
              </w:rPr>
            </w:pPr>
            <w:r>
              <w:rPr>
                <w:rFonts w:ascii="Times New Roman" w:cs="Times New Roman" w:eastAsia="Times New Roman" w:hAnsi="Times New Roman"/>
                <w:sz w:val="11"/>
                <w:szCs w:val="11"/>
                <w:color w:val="auto"/>
              </w:rPr>
              <w:t>(14)</w:t>
            </w:r>
          </w:p>
        </w:tc>
        <w:tc>
          <w:tcPr>
            <w:tcW w:w="14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161,092</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161,092</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29"/>
        </w:trPr>
        <w:tc>
          <w:tcPr>
            <w:tcW w:w="2000" w:type="dxa"/>
            <w:vAlign w:val="bottom"/>
            <w:tcBorders>
              <w:top w:val="single" w:sz="8" w:color="CCEEFF"/>
            </w:tcBorders>
            <w:shd w:val="clear" w:color="auto" w:fill="CCEEFF"/>
          </w:tcPr>
          <w:p>
            <w:pPr>
              <w:ind w:left="20"/>
              <w:spacing w:after="0" w:line="129" w:lineRule="exact"/>
              <w:rPr>
                <w:sz w:val="20"/>
                <w:szCs w:val="20"/>
                <w:color w:val="auto"/>
              </w:rPr>
            </w:pPr>
            <w:r>
              <w:rPr>
                <w:rFonts w:ascii="Times New Roman" w:cs="Times New Roman" w:eastAsia="Times New Roman" w:hAnsi="Times New Roman"/>
                <w:sz w:val="13"/>
                <w:szCs w:val="13"/>
                <w:b w:val="1"/>
                <w:bCs w:val="1"/>
                <w:color w:val="auto"/>
              </w:rPr>
              <w:t>Subtotal master repurchase</w:t>
            </w:r>
          </w:p>
        </w:tc>
        <w:tc>
          <w:tcPr>
            <w:tcW w:w="8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2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2,350,000</w:t>
            </w:r>
          </w:p>
        </w:tc>
        <w:tc>
          <w:tcPr>
            <w:tcW w:w="100" w:type="dxa"/>
            <w:vAlign w:val="bottom"/>
            <w:tcBorders>
              <w:top w:val="single" w:sz="8" w:color="CCEEFF"/>
            </w:tcBorders>
            <w:shd w:val="clear" w:color="auto" w:fill="CCEEFF"/>
          </w:tcPr>
          <w:p>
            <w:pPr>
              <w:spacing w:after="0"/>
              <w:rPr>
                <w:sz w:val="11"/>
                <w:szCs w:val="11"/>
                <w:color w:val="auto"/>
              </w:rPr>
            </w:pPr>
          </w:p>
        </w:tc>
        <w:tc>
          <w:tcPr>
            <w:tcW w:w="146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90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1220" w:type="dxa"/>
            <w:vAlign w:val="bottom"/>
            <w:tcBorders>
              <w:top w:val="single" w:sz="8" w:color="CCEEFF"/>
            </w:tcBorders>
            <w:shd w:val="clear" w:color="auto" w:fill="CCEEFF"/>
          </w:tcPr>
          <w:p>
            <w:pPr>
              <w:spacing w:after="0"/>
              <w:rPr>
                <w:sz w:val="11"/>
                <w:szCs w:val="11"/>
                <w:color w:val="auto"/>
              </w:rPr>
            </w:pPr>
          </w:p>
        </w:tc>
        <w:tc>
          <w:tcPr>
            <w:tcW w:w="40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spacing w:after="0"/>
              <w:rPr>
                <w:sz w:val="11"/>
                <w:szCs w:val="11"/>
                <w:color w:val="auto"/>
              </w:rPr>
            </w:pPr>
          </w:p>
        </w:tc>
        <w:tc>
          <w:tcPr>
            <w:tcW w:w="80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1,014,853</w:t>
            </w:r>
          </w:p>
        </w:tc>
        <w:tc>
          <w:tcPr>
            <w:tcW w:w="10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spacing w:after="0"/>
              <w:rPr>
                <w:sz w:val="11"/>
                <w:szCs w:val="11"/>
                <w:color w:val="auto"/>
              </w:rPr>
            </w:pPr>
          </w:p>
        </w:tc>
        <w:tc>
          <w:tcPr>
            <w:tcW w:w="80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1,014,853</w:t>
            </w:r>
          </w:p>
        </w:tc>
        <w:tc>
          <w:tcPr>
            <w:tcW w:w="10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spacing w:after="0"/>
              <w:rPr>
                <w:sz w:val="11"/>
                <w:szCs w:val="11"/>
                <w:color w:val="auto"/>
              </w:rPr>
            </w:pPr>
          </w:p>
        </w:tc>
        <w:tc>
          <w:tcPr>
            <w:tcW w:w="82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1,078,098</w:t>
            </w:r>
          </w:p>
        </w:tc>
        <w:tc>
          <w:tcPr>
            <w:tcW w:w="8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spacing w:after="0"/>
              <w:rPr>
                <w:sz w:val="11"/>
                <w:szCs w:val="11"/>
                <w:color w:val="auto"/>
              </w:rPr>
            </w:pPr>
          </w:p>
        </w:tc>
        <w:tc>
          <w:tcPr>
            <w:tcW w:w="78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1,078,098</w:t>
            </w:r>
          </w:p>
        </w:tc>
        <w:tc>
          <w:tcPr>
            <w:tcW w:w="0" w:type="dxa"/>
            <w:vAlign w:val="bottom"/>
          </w:tcPr>
          <w:p>
            <w:pPr>
              <w:spacing w:after="0"/>
              <w:rPr>
                <w:sz w:val="1"/>
                <w:szCs w:val="1"/>
                <w:color w:val="auto"/>
              </w:rPr>
            </w:pPr>
          </w:p>
        </w:tc>
      </w:tr>
      <w:tr>
        <w:trPr>
          <w:trHeight w:val="189"/>
        </w:trPr>
        <w:tc>
          <w:tcPr>
            <w:tcW w:w="2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facilities</w:t>
            </w:r>
          </w:p>
        </w:tc>
        <w:tc>
          <w:tcPr>
            <w:tcW w:w="80" w:type="dxa"/>
            <w:vAlign w:val="bottom"/>
            <w:vMerge w:val="continue"/>
            <w:shd w:val="clear" w:color="auto" w:fill="CCEEFF"/>
          </w:tcPr>
          <w:p>
            <w:pPr>
              <w:spacing w:after="0"/>
              <w:rPr>
                <w:sz w:val="16"/>
                <w:szCs w:val="16"/>
                <w:color w:val="auto"/>
              </w:rPr>
            </w:pPr>
          </w:p>
        </w:tc>
        <w:tc>
          <w:tcPr>
            <w:tcW w:w="82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2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8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200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82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146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90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1220" w:type="dxa"/>
            <w:vAlign w:val="bottom"/>
            <w:tcBorders>
              <w:bottom w:val="single" w:sz="8" w:color="CCEEFF"/>
            </w:tcBorders>
          </w:tcPr>
          <w:p>
            <w:pPr>
              <w:spacing w:after="0"/>
              <w:rPr>
                <w:sz w:val="12"/>
                <w:szCs w:val="12"/>
                <w:color w:val="auto"/>
              </w:rPr>
            </w:pPr>
          </w:p>
        </w:tc>
        <w:tc>
          <w:tcPr>
            <w:tcW w:w="40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20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b w:val="1"/>
                <w:bCs w:val="1"/>
                <w:color w:val="auto"/>
              </w:rPr>
              <w:t>Subtotal credit facilities</w:t>
            </w:r>
          </w:p>
        </w:tc>
        <w:tc>
          <w:tcPr>
            <w:tcW w:w="8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1,059,853</w:t>
            </w:r>
          </w:p>
        </w:tc>
        <w:tc>
          <w:tcPr>
            <w:tcW w:w="10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1,059,853</w:t>
            </w:r>
          </w:p>
        </w:tc>
        <w:tc>
          <w:tcPr>
            <w:tcW w:w="10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1,078,098</w:t>
            </w:r>
          </w:p>
        </w:tc>
        <w:tc>
          <w:tcPr>
            <w:tcW w:w="8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1,078,098</w:t>
            </w:r>
          </w:p>
        </w:tc>
        <w:tc>
          <w:tcPr>
            <w:tcW w:w="0" w:type="dxa"/>
            <w:vAlign w:val="bottom"/>
          </w:tcPr>
          <w:p>
            <w:pPr>
              <w:spacing w:after="0"/>
              <w:rPr>
                <w:sz w:val="1"/>
                <w:szCs w:val="1"/>
                <w:color w:val="auto"/>
              </w:rPr>
            </w:pPr>
          </w:p>
        </w:tc>
      </w:tr>
      <w:tr>
        <w:trPr>
          <w:trHeight w:val="135"/>
        </w:trPr>
        <w:tc>
          <w:tcPr>
            <w:tcW w:w="2000" w:type="dxa"/>
            <w:vAlign w:val="bottom"/>
            <w:tcBorders>
              <w:bottom w:val="single" w:sz="8" w:color="CCEEFF"/>
            </w:tcBorders>
          </w:tcPr>
          <w:p>
            <w:pPr>
              <w:spacing w:after="0"/>
              <w:rPr>
                <w:sz w:val="11"/>
                <w:szCs w:val="11"/>
                <w:color w:val="auto"/>
              </w:rPr>
            </w:pPr>
          </w:p>
        </w:tc>
        <w:tc>
          <w:tcPr>
            <w:tcW w:w="80" w:type="dxa"/>
            <w:vAlign w:val="bottom"/>
            <w:tcBorders>
              <w:bottom w:val="single" w:sz="8" w:color="CCEEFF"/>
            </w:tcBorders>
          </w:tcPr>
          <w:p>
            <w:pPr>
              <w:spacing w:after="0"/>
              <w:rPr>
                <w:sz w:val="11"/>
                <w:szCs w:val="11"/>
                <w:color w:val="auto"/>
              </w:rPr>
            </w:pPr>
          </w:p>
        </w:tc>
        <w:tc>
          <w:tcPr>
            <w:tcW w:w="820" w:type="dxa"/>
            <w:vAlign w:val="bottom"/>
            <w:tcBorders>
              <w:bottom w:val="single" w:sz="8" w:color="CCEEFF"/>
            </w:tcBorders>
          </w:tcPr>
          <w:p>
            <w:pPr>
              <w:spacing w:after="0"/>
              <w:rPr>
                <w:sz w:val="11"/>
                <w:szCs w:val="11"/>
                <w:color w:val="auto"/>
              </w:rPr>
            </w:pPr>
          </w:p>
        </w:tc>
        <w:tc>
          <w:tcPr>
            <w:tcW w:w="100" w:type="dxa"/>
            <w:vAlign w:val="bottom"/>
            <w:tcBorders>
              <w:bottom w:val="single" w:sz="8" w:color="CCEEFF"/>
            </w:tcBorders>
          </w:tcPr>
          <w:p>
            <w:pPr>
              <w:spacing w:after="0"/>
              <w:rPr>
                <w:sz w:val="11"/>
                <w:szCs w:val="11"/>
                <w:color w:val="auto"/>
              </w:rPr>
            </w:pPr>
          </w:p>
        </w:tc>
        <w:tc>
          <w:tcPr>
            <w:tcW w:w="1460" w:type="dxa"/>
            <w:vAlign w:val="bottom"/>
            <w:tcBorders>
              <w:bottom w:val="single" w:sz="8" w:color="CCEEFF"/>
            </w:tcBorders>
          </w:tcPr>
          <w:p>
            <w:pPr>
              <w:spacing w:after="0"/>
              <w:rPr>
                <w:sz w:val="11"/>
                <w:szCs w:val="11"/>
                <w:color w:val="auto"/>
              </w:rPr>
            </w:pPr>
          </w:p>
        </w:tc>
        <w:tc>
          <w:tcPr>
            <w:tcW w:w="100" w:type="dxa"/>
            <w:vAlign w:val="bottom"/>
            <w:tcBorders>
              <w:bottom w:val="single" w:sz="8" w:color="CCEEFF"/>
            </w:tcBorders>
          </w:tcPr>
          <w:p>
            <w:pPr>
              <w:spacing w:after="0"/>
              <w:rPr>
                <w:sz w:val="11"/>
                <w:szCs w:val="11"/>
                <w:color w:val="auto"/>
              </w:rPr>
            </w:pPr>
          </w:p>
        </w:tc>
        <w:tc>
          <w:tcPr>
            <w:tcW w:w="900" w:type="dxa"/>
            <w:vAlign w:val="bottom"/>
            <w:tcBorders>
              <w:bottom w:val="single" w:sz="8" w:color="CCEEFF"/>
            </w:tcBorders>
          </w:tcPr>
          <w:p>
            <w:pPr>
              <w:spacing w:after="0"/>
              <w:rPr>
                <w:sz w:val="11"/>
                <w:szCs w:val="11"/>
                <w:color w:val="auto"/>
              </w:rPr>
            </w:pPr>
          </w:p>
        </w:tc>
        <w:tc>
          <w:tcPr>
            <w:tcW w:w="100" w:type="dxa"/>
            <w:vAlign w:val="bottom"/>
            <w:tcBorders>
              <w:bottom w:val="single" w:sz="8" w:color="CCEEFF"/>
            </w:tcBorders>
          </w:tcPr>
          <w:p>
            <w:pPr>
              <w:spacing w:after="0"/>
              <w:rPr>
                <w:sz w:val="11"/>
                <w:szCs w:val="11"/>
                <w:color w:val="auto"/>
              </w:rPr>
            </w:pPr>
          </w:p>
        </w:tc>
        <w:tc>
          <w:tcPr>
            <w:tcW w:w="1220" w:type="dxa"/>
            <w:vAlign w:val="bottom"/>
            <w:tcBorders>
              <w:bottom w:val="single" w:sz="8" w:color="CCEEFF"/>
            </w:tcBorders>
          </w:tcPr>
          <w:p>
            <w:pPr>
              <w:spacing w:after="0"/>
              <w:rPr>
                <w:sz w:val="11"/>
                <w:szCs w:val="11"/>
                <w:color w:val="auto"/>
              </w:rPr>
            </w:pPr>
          </w:p>
        </w:tc>
        <w:tc>
          <w:tcPr>
            <w:tcW w:w="400" w:type="dxa"/>
            <w:vAlign w:val="bottom"/>
            <w:tcBorders>
              <w:bottom w:val="single" w:sz="8" w:color="CCEEFF"/>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spacing w:after="0"/>
              <w:rPr>
                <w:sz w:val="11"/>
                <w:szCs w:val="11"/>
                <w:color w:val="auto"/>
              </w:rPr>
            </w:pPr>
          </w:p>
        </w:tc>
        <w:tc>
          <w:tcPr>
            <w:tcW w:w="100" w:type="dxa"/>
            <w:vAlign w:val="bottom"/>
            <w:tcBorders>
              <w:bottom w:val="single" w:sz="8" w:color="CCEEFF"/>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spacing w:after="0"/>
              <w:rPr>
                <w:sz w:val="11"/>
                <w:szCs w:val="11"/>
                <w:color w:val="auto"/>
              </w:rPr>
            </w:pPr>
          </w:p>
        </w:tc>
        <w:tc>
          <w:tcPr>
            <w:tcW w:w="100" w:type="dxa"/>
            <w:vAlign w:val="bottom"/>
            <w:tcBorders>
              <w:bottom w:val="single" w:sz="8" w:color="CCEEFF"/>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tcPr>
          <w:p>
            <w:pPr>
              <w:spacing w:after="0"/>
              <w:rPr>
                <w:sz w:val="11"/>
                <w:szCs w:val="11"/>
                <w:color w:val="auto"/>
              </w:rPr>
            </w:pPr>
          </w:p>
        </w:tc>
        <w:tc>
          <w:tcPr>
            <w:tcW w:w="80" w:type="dxa"/>
            <w:vAlign w:val="bottom"/>
            <w:tcBorders>
              <w:bottom w:val="single" w:sz="8" w:color="CCEEFF"/>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20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b w:val="1"/>
                <w:bCs w:val="1"/>
                <w:color w:val="auto"/>
              </w:rPr>
              <w:t>Total</w:t>
            </w: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2,643,082</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2,633,572</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2,476,490</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2,469,240</w:t>
            </w:r>
          </w:p>
        </w:tc>
        <w:tc>
          <w:tcPr>
            <w:tcW w:w="0" w:type="dxa"/>
            <w:vAlign w:val="bottom"/>
          </w:tcPr>
          <w:p>
            <w:pPr>
              <w:spacing w:after="0"/>
              <w:rPr>
                <w:sz w:val="1"/>
                <w:szCs w:val="1"/>
                <w:color w:val="auto"/>
              </w:rPr>
            </w:pPr>
          </w:p>
        </w:tc>
      </w:tr>
      <w:tr>
        <w:trPr>
          <w:trHeight w:val="20"/>
        </w:trPr>
        <w:tc>
          <w:tcPr>
            <w:tcW w:w="20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_________________________________________</w:t>
      </w:r>
    </w:p>
    <w:p>
      <w:pPr>
        <w:spacing w:after="0" w:line="17" w:lineRule="exact"/>
        <w:rPr>
          <w:sz w:val="20"/>
          <w:szCs w:val="20"/>
          <w:color w:val="auto"/>
        </w:rPr>
      </w:pPr>
    </w:p>
    <w:p>
      <w:pPr>
        <w:ind w:left="320" w:hanging="312"/>
        <w:spacing w:after="0"/>
        <w:tabs>
          <w:tab w:leader="none" w:pos="32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Subject to customary non-recourse carveouts.</w:t>
      </w:r>
    </w:p>
    <w:p>
      <w:pPr>
        <w:spacing w:after="0" w:line="11" w:lineRule="exact"/>
        <w:rPr>
          <w:rFonts w:ascii="Times New Roman" w:cs="Times New Roman" w:eastAsia="Times New Roman" w:hAnsi="Times New Roman"/>
          <w:sz w:val="14"/>
          <w:szCs w:val="14"/>
          <w:color w:val="auto"/>
        </w:rPr>
      </w:pPr>
    </w:p>
    <w:p>
      <w:pPr>
        <w:ind w:left="340" w:right="20" w:hanging="332"/>
        <w:spacing w:after="0" w:line="261" w:lineRule="auto"/>
        <w:tabs>
          <w:tab w:leader="none" w:pos="332"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Difference between principal amount and carrying value of securitization bonds payable, net and mortgage and other notes payable, net is attributable to deferred financing costs, net and premium/discount on mortgage notes payable.</w:t>
      </w:r>
    </w:p>
    <w:p>
      <w:pPr>
        <w:jc w:val="both"/>
        <w:ind w:left="340" w:hanging="332"/>
        <w:spacing w:after="0" w:line="256" w:lineRule="auto"/>
        <w:tabs>
          <w:tab w:leader="none" w:pos="332"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Company, through indirect Cayman subsidiaries, securitized commercial mortgage loans originated by the Company. Senior notes issued by the securitization trusts were generally sold to third parties and subordinated notes were retained by the Company. These securitizations are accounted for as secured financings with the underlying mortgage loans pledged as collateral. Principal payments from underlying collateral loans must be applied to repay the notes until fully paid off, irrespective of the contractual maturities on the notes. Underlying collateral loans have initial terms of two to three years.</w:t>
      </w:r>
    </w:p>
    <w:p>
      <w:pPr>
        <w:spacing w:after="0" w:line="1" w:lineRule="exact"/>
        <w:rPr>
          <w:rFonts w:ascii="Times New Roman" w:cs="Times New Roman" w:eastAsia="Times New Roman" w:hAnsi="Times New Roman"/>
          <w:sz w:val="14"/>
          <w:szCs w:val="14"/>
          <w:color w:val="auto"/>
        </w:rPr>
      </w:pPr>
    </w:p>
    <w:p>
      <w:pPr>
        <w:ind w:left="320" w:hanging="312"/>
        <w:spacing w:after="0"/>
        <w:tabs>
          <w:tab w:leader="none" w:pos="32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On February 19, 2026, the Company redeemed the outstanding securities under BRSP 2021-FL1, including the 2021-FL1 Notes, at a redemption price of $310.7 million.</w:t>
      </w:r>
    </w:p>
    <w:p>
      <w:pPr>
        <w:spacing w:after="0" w:line="14" w:lineRule="exact"/>
        <w:rPr>
          <w:rFonts w:ascii="Times New Roman" w:cs="Times New Roman" w:eastAsia="Times New Roman" w:hAnsi="Times New Roman"/>
          <w:sz w:val="14"/>
          <w:szCs w:val="14"/>
          <w:color w:val="auto"/>
        </w:rPr>
      </w:pPr>
    </w:p>
    <w:p>
      <w:pPr>
        <w:ind w:left="340" w:right="20" w:hanging="332"/>
        <w:spacing w:after="0" w:line="254" w:lineRule="auto"/>
        <w:tabs>
          <w:tab w:leader="none" w:pos="332"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During the third quarter of 2026, the Company completed the sale of an industrial portfolio and the purchaser assumed the associated mortgage note payable collateralized by Net lease 1. Refer to Note 4,“Real Estate, net” for further discussion.</w:t>
      </w:r>
    </w:p>
    <w:p>
      <w:pPr>
        <w:ind w:left="340" w:hanging="332"/>
        <w:spacing w:after="0" w:line="278" w:lineRule="auto"/>
        <w:tabs>
          <w:tab w:leader="none" w:pos="332"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mortgage note payable collateralized by Net Lease 3 is in maturity default. As a result, the mortgage note payable is currently accruing default interest at a per annum rate of 4.00% in addition to the contractual interest rate. The Company is currently negotiating an extension with the lender.</w:t>
      </w: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BRIGHTSPIRE CAPITAL,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337" w:lineRule="exact"/>
        <w:rPr>
          <w:sz w:val="20"/>
          <w:szCs w:val="20"/>
          <w:color w:val="auto"/>
        </w:rPr>
      </w:pPr>
    </w:p>
    <w:p>
      <w:pPr>
        <w:ind w:left="340" w:hanging="332"/>
        <w:spacing w:after="0" w:line="271" w:lineRule="auto"/>
        <w:tabs>
          <w:tab w:leader="none" w:pos="332"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Payment terms are periodic payment of principal and interest for debt on two properties and periodic payment of interest only with principal at maturity (except for principal repayments to release collateral properties disposed) for debt on one property.</w:t>
      </w:r>
    </w:p>
    <w:p>
      <w:pPr>
        <w:jc w:val="both"/>
        <w:ind w:left="340" w:hanging="332"/>
        <w:spacing w:after="0" w:line="256" w:lineRule="auto"/>
        <w:tabs>
          <w:tab w:leader="none" w:pos="332"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During the nine months ended September 30, 2026, the Company received notice that it was in default on the mortgage notes payable cross-collateralized by Net Lease 5, Net Lease 6 and Net Lease 8. The Company deconsolidated two properties collateralizing Net Lease 5 and the property collateralizing Net Lease 8 during the nine months ended September 30, 2026. The Company expects the lender to continue to pursue remedies and thereby lose control over the two remaining retail properties, at which time the Company will deconsolidate the cross-collateralized mortgage notes payable. Refer to Note 4, "Real estate, net" for further detail.</w:t>
      </w:r>
    </w:p>
    <w:p>
      <w:pPr>
        <w:spacing w:after="0" w:line="1" w:lineRule="exact"/>
        <w:rPr>
          <w:rFonts w:ascii="Times New Roman" w:cs="Times New Roman" w:eastAsia="Times New Roman" w:hAnsi="Times New Roman"/>
          <w:sz w:val="14"/>
          <w:szCs w:val="14"/>
          <w:color w:val="auto"/>
        </w:rPr>
      </w:pPr>
    </w:p>
    <w:p>
      <w:pPr>
        <w:ind w:left="320" w:hanging="312"/>
        <w:spacing w:after="0"/>
        <w:tabs>
          <w:tab w:leader="none" w:pos="32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a mortgage note collateralized by three properties. In April 2025, the contractual interest rate on Net lease 5 was modified to 7.25%.</w:t>
      </w:r>
    </w:p>
    <w:p>
      <w:pPr>
        <w:spacing w:after="0" w:line="14" w:lineRule="exact"/>
        <w:rPr>
          <w:rFonts w:ascii="Times New Roman" w:cs="Times New Roman" w:eastAsia="Times New Roman" w:hAnsi="Times New Roman"/>
          <w:sz w:val="14"/>
          <w:szCs w:val="14"/>
          <w:color w:val="auto"/>
        </w:rPr>
      </w:pPr>
    </w:p>
    <w:p>
      <w:pPr>
        <w:ind w:left="320" w:hanging="312"/>
        <w:spacing w:after="0"/>
        <w:tabs>
          <w:tab w:leader="none" w:pos="32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current maturity date is December 2027, with a one-year extension available, subject to satisfaction of certain customary conditions set forth in the governing documents.</w:t>
      </w:r>
    </w:p>
    <w:p>
      <w:pPr>
        <w:spacing w:after="0" w:line="4" w:lineRule="exact"/>
        <w:rPr>
          <w:rFonts w:ascii="Times New Roman" w:cs="Times New Roman" w:eastAsia="Times New Roman" w:hAnsi="Times New Roman"/>
          <w:sz w:val="14"/>
          <w:szCs w:val="14"/>
          <w:color w:val="auto"/>
        </w:rPr>
      </w:pPr>
    </w:p>
    <w:p>
      <w:pPr>
        <w:jc w:val="both"/>
        <w:ind w:left="340" w:hanging="332"/>
        <w:spacing w:after="0" w:line="260" w:lineRule="auto"/>
        <w:tabs>
          <w:tab w:leader="none" w:pos="331"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During the third quarter of 2025, the Company acquired legal title to the multifamily construction/development project collateralizing the note payable through a deed-in-lieu of foreclosure. Additionally, the Company refinanced the note payable, with a two-year initial term plus one one-year extension option. The principal balance and spread of the note payable did not change. Refer to Note 4, “Real Estate, net” for further discussion.</w:t>
      </w:r>
    </w:p>
    <w:p>
      <w:pPr>
        <w:ind w:left="340" w:hanging="332"/>
        <w:spacing w:after="0" w:line="254" w:lineRule="auto"/>
        <w:tabs>
          <w:tab w:leader="none" w:pos="337"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On December 9, 2025, the Company, through its subsidiaries, including the OP, entered into an Amendment No. 1 to the Restated Credit Agreement. Refer to “Bank Credit Facility” within this note for more details.</w:t>
      </w:r>
    </w:p>
    <w:p>
      <w:pPr>
        <w:ind w:left="320" w:hanging="312"/>
        <w:spacing w:after="0"/>
        <w:tabs>
          <w:tab w:leader="none" w:pos="32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Recourse solely with respect to 25.0% of the financed amount.</w:t>
      </w:r>
    </w:p>
    <w:p>
      <w:pPr>
        <w:spacing w:after="0" w:line="11" w:lineRule="exact"/>
        <w:rPr>
          <w:rFonts w:ascii="Times New Roman" w:cs="Times New Roman" w:eastAsia="Times New Roman" w:hAnsi="Times New Roman"/>
          <w:sz w:val="14"/>
          <w:szCs w:val="14"/>
          <w:color w:val="auto"/>
        </w:rPr>
      </w:pPr>
    </w:p>
    <w:p>
      <w:pPr>
        <w:ind w:left="320" w:hanging="312"/>
        <w:spacing w:after="0"/>
        <w:tabs>
          <w:tab w:leader="none" w:pos="32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the weighted average spread as of September 30, 2026. The contractual interest rate depends upon asset type and characteristics and ranges from SOFR plus 1.30% to 2.75%.</w:t>
      </w:r>
    </w:p>
    <w:p>
      <w:pPr>
        <w:spacing w:after="0" w:line="14" w:lineRule="exact"/>
        <w:rPr>
          <w:rFonts w:ascii="Times New Roman" w:cs="Times New Roman" w:eastAsia="Times New Roman" w:hAnsi="Times New Roman"/>
          <w:sz w:val="14"/>
          <w:szCs w:val="14"/>
          <w:color w:val="auto"/>
        </w:rPr>
      </w:pPr>
    </w:p>
    <w:p>
      <w:pPr>
        <w:ind w:left="340" w:hanging="332"/>
        <w:spacing w:after="0" w:line="261" w:lineRule="auto"/>
        <w:tabs>
          <w:tab w:leader="none" w:pos="337"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current maturity date is April 2028, with two one-year extensions available at the option of the Company, which may be exercised upon the satisfaction of certain customary conditions set forth in the governing documents.</w:t>
      </w:r>
    </w:p>
    <w:p>
      <w:pPr>
        <w:ind w:left="320" w:hanging="312"/>
        <w:spacing w:after="0"/>
        <w:tabs>
          <w:tab w:leader="none" w:pos="32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Recourse is either 25.0% or 50.0% depending on loan metrics.</w:t>
      </w:r>
    </w:p>
    <w:p>
      <w:pPr>
        <w:spacing w:after="0" w:line="4" w:lineRule="exact"/>
        <w:rPr>
          <w:rFonts w:ascii="Times New Roman" w:cs="Times New Roman" w:eastAsia="Times New Roman" w:hAnsi="Times New Roman"/>
          <w:sz w:val="14"/>
          <w:szCs w:val="14"/>
          <w:color w:val="auto"/>
        </w:rPr>
      </w:pPr>
    </w:p>
    <w:p>
      <w:pPr>
        <w:ind w:left="340" w:hanging="332"/>
        <w:spacing w:after="0" w:line="259" w:lineRule="auto"/>
        <w:tabs>
          <w:tab w:leader="none" w:pos="337"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current maturity date is June 2028, with two one-year extensions available at the option of the Company, which may be exercised upon the satisfaction of certain customary conditions set forth in the governing documents. In December 2025, the maximum facility size was increased to $500.0 million.</w:t>
      </w:r>
    </w:p>
    <w:p>
      <w:pPr>
        <w:ind w:left="340" w:hanging="332"/>
        <w:spacing w:after="0" w:line="261" w:lineRule="auto"/>
        <w:tabs>
          <w:tab w:leader="none" w:pos="337"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current maturity date is November 2026, with three one-year extensions available at the option of the Company, which may be exercised upon the satisfaction of certain customary conditions set forth in the governing documents.</w:t>
      </w:r>
    </w:p>
    <w:p>
      <w:pPr>
        <w:jc w:val="both"/>
        <w:ind w:left="340" w:hanging="332"/>
        <w:spacing w:after="0" w:line="262" w:lineRule="auto"/>
        <w:tabs>
          <w:tab w:leader="none" w:pos="337"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Company entered into a Master Repurchase Agreement with Bank 5 which provides up to $250.0 million to finance first mortgage loans, senior loan participations and related mezzanine loans secured by commercial real estate. The current maturity date is March 2029, with two one-year extensions available at the option of the Company, which may be exercised upon the satisfaction of certain customary conditions set forth in the governing documents.</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Future Minimum Principal Payments</w:t>
      </w:r>
    </w:p>
    <w:p>
      <w:pPr>
        <w:spacing w:after="0" w:line="158"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following table summarizes future scheduled minimum principal payments at September 30, 2026 based on initial maturity dates or extended maturity dates to the extent criteria are met and the extension option is at the borrower’s discretion (dollars in thousands):</w:t>
      </w:r>
    </w:p>
    <w:p>
      <w:pPr>
        <w:spacing w:after="0" w:line="6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6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60" w:type="dxa"/>
            <w:vAlign w:val="bottom"/>
            <w:vMerge w:val="restart"/>
          </w:tcPr>
          <w:p>
            <w:pPr>
              <w:jc w:val="right"/>
              <w:ind w:right="499"/>
              <w:spacing w:after="0"/>
              <w:rPr>
                <w:sz w:val="20"/>
                <w:szCs w:val="20"/>
                <w:color w:val="auto"/>
              </w:rPr>
            </w:pPr>
            <w:r>
              <w:rPr>
                <w:rFonts w:ascii="Times New Roman" w:cs="Times New Roman" w:eastAsia="Times New Roman" w:hAnsi="Times New Roman"/>
                <w:sz w:val="16"/>
                <w:szCs w:val="16"/>
                <w:b w:val="1"/>
                <w:bCs w:val="1"/>
                <w:color w:val="auto"/>
              </w:rPr>
              <w:t>Total</w:t>
            </w:r>
          </w:p>
        </w:tc>
        <w:tc>
          <w:tcPr>
            <w:tcW w:w="100" w:type="dxa"/>
            <w:vAlign w:val="bottom"/>
            <w:vMerge w:val="restart"/>
          </w:tcPr>
          <w:p>
            <w:pPr>
              <w:spacing w:after="0"/>
              <w:rPr>
                <w:sz w:val="16"/>
                <w:szCs w:val="16"/>
                <w:color w:val="auto"/>
              </w:rPr>
            </w:pPr>
          </w:p>
        </w:tc>
        <w:tc>
          <w:tcPr>
            <w:tcW w:w="140" w:type="dxa"/>
            <w:vAlign w:val="bottom"/>
          </w:tcPr>
          <w:p>
            <w:pPr>
              <w:spacing w:after="0"/>
              <w:rPr>
                <w:sz w:val="16"/>
                <w:szCs w:val="16"/>
                <w:color w:val="auto"/>
              </w:rPr>
            </w:pPr>
          </w:p>
        </w:tc>
        <w:tc>
          <w:tcPr>
            <w:tcW w:w="174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Securitization Bonds</w:t>
            </w:r>
          </w:p>
        </w:tc>
        <w:tc>
          <w:tcPr>
            <w:tcW w:w="1700" w:type="dxa"/>
            <w:vAlign w:val="bottom"/>
            <w:gridSpan w:val="3"/>
          </w:tcPr>
          <w:p>
            <w:pPr>
              <w:ind w:left="80"/>
              <w:spacing w:after="0"/>
              <w:rPr>
                <w:sz w:val="20"/>
                <w:szCs w:val="20"/>
                <w:color w:val="auto"/>
              </w:rPr>
            </w:pPr>
            <w:r>
              <w:rPr>
                <w:rFonts w:ascii="Times New Roman" w:cs="Times New Roman" w:eastAsia="Times New Roman" w:hAnsi="Times New Roman"/>
                <w:sz w:val="16"/>
                <w:szCs w:val="16"/>
                <w:b w:val="1"/>
                <w:bCs w:val="1"/>
                <w:color w:val="auto"/>
              </w:rPr>
              <w:t>Mortgage and Other</w:t>
            </w:r>
          </w:p>
        </w:tc>
        <w:tc>
          <w:tcPr>
            <w:tcW w:w="140" w:type="dxa"/>
            <w:vAlign w:val="bottom"/>
          </w:tcPr>
          <w:p>
            <w:pPr>
              <w:spacing w:after="0"/>
              <w:rPr>
                <w:sz w:val="16"/>
                <w:szCs w:val="16"/>
                <w:color w:val="auto"/>
              </w:rPr>
            </w:pPr>
          </w:p>
        </w:tc>
        <w:tc>
          <w:tcPr>
            <w:tcW w:w="1300" w:type="dxa"/>
            <w:vAlign w:val="bottom"/>
            <w:vMerge w:val="restart"/>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Credit Facilities</w:t>
            </w:r>
          </w:p>
        </w:tc>
        <w:tc>
          <w:tcPr>
            <w:tcW w:w="0" w:type="dxa"/>
            <w:vAlign w:val="bottom"/>
          </w:tcPr>
          <w:p>
            <w:pPr>
              <w:spacing w:after="0"/>
              <w:rPr>
                <w:sz w:val="1"/>
                <w:szCs w:val="1"/>
                <w:color w:val="auto"/>
              </w:rPr>
            </w:pPr>
          </w:p>
        </w:tc>
      </w:tr>
      <w:tr>
        <w:trPr>
          <w:trHeight w:val="214"/>
        </w:trPr>
        <w:tc>
          <w:tcPr>
            <w:tcW w:w="462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vMerge w:val="continue"/>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tcPr>
          <w:p>
            <w:pPr>
              <w:jc w:val="right"/>
              <w:ind w:right="379"/>
              <w:spacing w:after="0"/>
              <w:rPr>
                <w:sz w:val="20"/>
                <w:szCs w:val="20"/>
                <w:color w:val="auto"/>
              </w:rPr>
            </w:pPr>
            <w:r>
              <w:rPr>
                <w:rFonts w:ascii="Times New Roman" w:cs="Times New Roman" w:eastAsia="Times New Roman" w:hAnsi="Times New Roman"/>
                <w:sz w:val="16"/>
                <w:szCs w:val="16"/>
                <w:b w:val="1"/>
                <w:bCs w:val="1"/>
                <w:color w:val="auto"/>
              </w:rPr>
              <w:t>Payable, Net</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Notes Payable, Net</w:t>
            </w:r>
          </w:p>
        </w:tc>
        <w:tc>
          <w:tcPr>
            <w:tcW w:w="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4620" w:type="dxa"/>
            <w:vAlign w:val="bottom"/>
            <w:shd w:val="clear" w:color="auto" w:fill="CCEEFF"/>
          </w:tcPr>
          <w:p>
            <w:pPr>
              <w:ind w:left="140"/>
              <w:spacing w:after="0" w:line="225" w:lineRule="exact"/>
              <w:rPr>
                <w:sz w:val="20"/>
                <w:szCs w:val="20"/>
                <w:color w:val="auto"/>
              </w:rPr>
            </w:pPr>
            <w:r>
              <w:rPr>
                <w:rFonts w:ascii="Times New Roman" w:cs="Times New Roman" w:eastAsia="Times New Roman" w:hAnsi="Times New Roman"/>
                <w:sz w:val="16"/>
                <w:szCs w:val="16"/>
                <w:color w:val="auto"/>
              </w:rPr>
              <w:t>Remainder of 2026</w:t>
            </w:r>
            <w:r>
              <w:rPr>
                <w:rFonts w:ascii="Times New Roman" w:cs="Times New Roman" w:eastAsia="Times New Roman" w:hAnsi="Times New Roman"/>
                <w:sz w:val="21"/>
                <w:szCs w:val="21"/>
                <w:color w:val="auto"/>
                <w:vertAlign w:val="superscript"/>
              </w:rPr>
              <w:t>(1)</w:t>
            </w:r>
          </w:p>
        </w:tc>
        <w:tc>
          <w:tcPr>
            <w:tcW w:w="3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52,875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52,875</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26"/>
        </w:trPr>
        <w:tc>
          <w:tcPr>
            <w:tcW w:w="46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2027</w:t>
            </w: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20,298</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7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20,298</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33"/>
        </w:trPr>
        <w:tc>
          <w:tcPr>
            <w:tcW w:w="46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2028</w:t>
            </w:r>
          </w:p>
        </w:tc>
        <w:tc>
          <w:tcPr>
            <w:tcW w:w="340" w:type="dxa"/>
            <w:vAlign w:val="bottom"/>
            <w:shd w:val="clear" w:color="auto" w:fill="CCEEFF"/>
          </w:tcPr>
          <w:p>
            <w:pPr>
              <w:spacing w:after="0"/>
              <w:rPr>
                <w:sz w:val="20"/>
                <w:szCs w:val="20"/>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589,250</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20"/>
                <w:szCs w:val="20"/>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139,034</w:t>
            </w: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450,216</w:t>
            </w:r>
          </w:p>
        </w:tc>
        <w:tc>
          <w:tcPr>
            <w:tcW w:w="0" w:type="dxa"/>
            <w:vAlign w:val="bottom"/>
          </w:tcPr>
          <w:p>
            <w:pPr>
              <w:spacing w:after="0"/>
              <w:rPr>
                <w:sz w:val="1"/>
                <w:szCs w:val="1"/>
                <w:color w:val="auto"/>
              </w:rPr>
            </w:pPr>
          </w:p>
        </w:tc>
      </w:tr>
      <w:tr>
        <w:trPr>
          <w:trHeight w:val="226"/>
        </w:trPr>
        <w:tc>
          <w:tcPr>
            <w:tcW w:w="46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2029</w:t>
            </w: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224,752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7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9"/>
                <w:szCs w:val="19"/>
                <w:color w:val="auto"/>
              </w:rPr>
            </w:pPr>
          </w:p>
        </w:tc>
        <w:tc>
          <w:tcPr>
            <w:tcW w:w="15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224,752</w:t>
            </w:r>
          </w:p>
        </w:tc>
        <w:tc>
          <w:tcPr>
            <w:tcW w:w="0" w:type="dxa"/>
            <w:vAlign w:val="bottom"/>
          </w:tcPr>
          <w:p>
            <w:pPr>
              <w:spacing w:after="0"/>
              <w:rPr>
                <w:sz w:val="1"/>
                <w:szCs w:val="1"/>
                <w:color w:val="auto"/>
              </w:rPr>
            </w:pPr>
          </w:p>
        </w:tc>
      </w:tr>
      <w:tr>
        <w:trPr>
          <w:trHeight w:val="233"/>
        </w:trPr>
        <w:tc>
          <w:tcPr>
            <w:tcW w:w="46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2030</w:t>
            </w:r>
          </w:p>
        </w:tc>
        <w:tc>
          <w:tcPr>
            <w:tcW w:w="340" w:type="dxa"/>
            <w:vAlign w:val="bottom"/>
            <w:shd w:val="clear" w:color="auto" w:fill="CCEEFF"/>
          </w:tcPr>
          <w:p>
            <w:pPr>
              <w:spacing w:after="0"/>
              <w:rPr>
                <w:sz w:val="20"/>
                <w:szCs w:val="20"/>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223,793</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20"/>
                <w:szCs w:val="20"/>
                <w:color w:val="auto"/>
              </w:rPr>
            </w:pPr>
          </w:p>
        </w:tc>
        <w:tc>
          <w:tcPr>
            <w:tcW w:w="15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20"/>
                <w:szCs w:val="20"/>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223,793</w:t>
            </w:r>
          </w:p>
        </w:tc>
        <w:tc>
          <w:tcPr>
            <w:tcW w:w="0" w:type="dxa"/>
            <w:vAlign w:val="bottom"/>
          </w:tcPr>
          <w:p>
            <w:pPr>
              <w:spacing w:after="0"/>
              <w:rPr>
                <w:sz w:val="1"/>
                <w:szCs w:val="1"/>
                <w:color w:val="auto"/>
              </w:rPr>
            </w:pPr>
          </w:p>
        </w:tc>
      </w:tr>
      <w:tr>
        <w:trPr>
          <w:trHeight w:val="226"/>
        </w:trPr>
        <w:tc>
          <w:tcPr>
            <w:tcW w:w="46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2031 and thereafter</w:t>
            </w: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1,532,114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1,371,022</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161,092</w:t>
            </w:r>
          </w:p>
        </w:tc>
        <w:tc>
          <w:tcPr>
            <w:tcW w:w="0" w:type="dxa"/>
            <w:vAlign w:val="bottom"/>
          </w:tcPr>
          <w:p>
            <w:pPr>
              <w:spacing w:after="0"/>
              <w:rPr>
                <w:sz w:val="1"/>
                <w:szCs w:val="1"/>
                <w:color w:val="auto"/>
              </w:rPr>
            </w:pPr>
          </w:p>
        </w:tc>
      </w:tr>
      <w:tr>
        <w:trPr>
          <w:trHeight w:val="251"/>
        </w:trPr>
        <w:tc>
          <w:tcPr>
            <w:tcW w:w="46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w:t>
            </w:r>
          </w:p>
        </w:tc>
        <w:tc>
          <w:tcPr>
            <w:tcW w:w="340" w:type="dxa"/>
            <w:vAlign w:val="bottom"/>
            <w:tcBorders>
              <w:top w:val="single" w:sz="8" w:color="auto"/>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2,643,082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1,371,022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212,207</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1,059,853</w:t>
            </w:r>
          </w:p>
        </w:tc>
        <w:tc>
          <w:tcPr>
            <w:tcW w:w="0" w:type="dxa"/>
            <w:vAlign w:val="bottom"/>
          </w:tcPr>
          <w:p>
            <w:pPr>
              <w:spacing w:after="0"/>
              <w:rPr>
                <w:sz w:val="1"/>
                <w:szCs w:val="1"/>
                <w:color w:val="auto"/>
              </w:rPr>
            </w:pPr>
          </w:p>
        </w:tc>
      </w:tr>
      <w:tr>
        <w:trPr>
          <w:trHeight w:val="20"/>
        </w:trPr>
        <w:tc>
          <w:tcPr>
            <w:tcW w:w="46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_________________________________________</w:t>
      </w:r>
    </w:p>
    <w:p>
      <w:pPr>
        <w:spacing w:after="0" w:line="27" w:lineRule="exact"/>
        <w:rPr>
          <w:sz w:val="20"/>
          <w:szCs w:val="20"/>
          <w:color w:val="auto"/>
        </w:rPr>
      </w:pPr>
    </w:p>
    <w:p>
      <w:pPr>
        <w:ind w:left="320" w:hanging="312"/>
        <w:spacing w:after="0"/>
        <w:tabs>
          <w:tab w:leader="none" w:pos="32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Mortgage and other notes payable, net includes Net lease 5, Net lease 6 and Net lease 8, which are in default as of September 30, 2026.</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Bank Credit Facility</w:t>
      </w:r>
    </w:p>
    <w:p>
      <w:pPr>
        <w:spacing w:after="0" w:line="16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uses bank credit facilities (including term loans and revolving facilities) to finance the business. These financings may be collateralized or non-collateralized and may involve one or more lenders. Credit facilities typically have maturities ranging from one to five years and may accrue interest at either fixed or floating rates.</w:t>
      </w:r>
    </w:p>
    <w:p>
      <w:pPr>
        <w:spacing w:after="0" w:line="9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OP (together with certain subsidiaries of the OP from time-to-time party thereto as borrowers, collectively, the “Borrowers”) is party to an Amended and Restated Credit Agreement (as amended to date, the “Amended Credit Agreement”) with JPMorgan Chase Bank, N.A., as administrative agent (the “Administrative Agent”), and the several lenders from time to time party thereto (the “Lenders”). The Amended Credit Agreement provides for a revolving credit facility in the aggregate principal amount of up to $120.0 million, of which up to $25.0 million is available as letters of credit.</w:t>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BRIGHTSPIRE CAPITAL,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90"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Loans under the Amended Credit Agreement may be advanced in U.S. dollars and certain foreign currencies, including euros, pounds sterling and Swiss francs.</w:t>
      </w:r>
    </w:p>
    <w:p>
      <w:pPr>
        <w:spacing w:after="0" w:line="8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Amended Credit Agreement also includes an option for the Borrowers to increase the maximum available principal amount to up to $180.0 million, subject to one or more new or existing Lenders agreeing to provide such additional loan commitments and satisfaction of other customary conditions.</w:t>
      </w:r>
    </w:p>
    <w:p>
      <w:pPr>
        <w:spacing w:after="0" w:line="9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Advances under the Amended Credit Agreement accrue interest at a per annum rate equal to, at the applicable Borrower’s election, either (x) a Term SOFR rate plus a margin of 2.25%, or (y) a base rate equal to the highest of (i) the Wall Street Journal’s prime rate, (ii) the federal funds rate plus 0.50% and (iii) the Term SOFR rate plus 1.00%, plus a margin of 1.25%. An unused commitment fee at a rate of 0.25% or 0.35%, per annum, depending on the amount of facility utilization, applies to unutilized borrowing capacity under the Amended Credit Agreement. Amounts owed under the Amended Credit Agreement may be prepaid at any time without premium or penalty, subject to customary breakage costs in the case of borrowings with respect to which a Term SOFR rate election is in effect.</w:t>
      </w:r>
    </w:p>
    <w:p>
      <w:pPr>
        <w:spacing w:after="0" w:line="120"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The maximum amount available for borrowing at any time under the Amended Credit Agreement is limited to a borrowing base valuation of certain investment assets, with the valuation of such investment assets generally determined according to a percentage of adjusted net book value. As of September 30, 2026, the borrowing base valuation is sufficient to permit borrowings of up to the entire $120.0 million commitment. If any borrowing is outstanding for more than 180 days after its initial draw, the borrowing base valuation will be reduced by 50% until all outstanding borrowings are repaid in full. The ability to borrow new amounts under the Amended Credit Agreement terminates and any outstanding revolving loans will mature on December 8, 2028.</w:t>
      </w:r>
    </w:p>
    <w:p>
      <w:pPr>
        <w:spacing w:after="0" w:line="32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obligations of the Borrowers under the Amended Credit Agreement are guaranteed pursuant to a Guarantee and Collateral Agreement by substantially all material wholly owned subsidiaries of the OP (the “Guarantors”) in favor of the Administrative Agent (the “Guarantee and Collateral Agreement”) and, subject to certain exceptions, secured by a pledge of substantially all equity interests owned by the Borrowers and the Guarantors, as well as by a security interest in deposit accounts of the Borrowers and the Guarantors (as such terms are defined in the Guarantee and Collateral Agreement) in which the proceeds of investment asset distributions are maintained.</w:t>
      </w:r>
    </w:p>
    <w:p>
      <w:pPr>
        <w:spacing w:after="0" w:line="11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Amended Credit Agreement contains various affirmative and negative covenants, including, among other things, the obligation of the Company to maintain REIT status and be listed on the New York Stock Exchange or any other U.S. national or international securities exchange, and limitations on debt, liens and restricted payments. In addition, the Amended Credit Agreement includes the following financial covenants applicable to the OP and its consolidated subsidiaries: (a) minimum consolidated tangible net worth of the OP to be greater than or equal to the sum of (i) $900,000,000 and (ii) 70% of the net cash proceeds received by the OP from any offering of its common equity after December 9, 2025 and of the net cash proceeds from any offering by the Company of its common equity to the extent such proceeds are contributed to the OP, excluding any such proceeds that are contributed to the OP within ninety (90) days of receipt and applied to acquire capital stock of the OP; (b) the OP’s EBITDA plus lease expenses to fixed charges for any period of four consecutive fiscal quarters not less than 1.40 to 1.00; (c) the OP’s minimum interest coverage ratio not less than 3.00 to 1.00; and (d) the OP’s ratio of consolidated total debt to consolidated total assets must not exceed 0.80 to 1.00. The Amended Credit Agreement also includes customary events of default, including, among other things, failure to make payments when due, breach of covenants or representations, cross default to material indebtedness, material judgment defaults, bankruptcy matters involving any Borrower or any Guarantor and certain change of control events. The occurrence of an event of default will limit the ability of the OP and its subsidiaries to make distributions and may result in the termination of the credit facility, acceleration of repayment obligations and the exercise of remedies by the Lenders with respect to the collateral.</w:t>
      </w:r>
    </w:p>
    <w:p>
      <w:pPr>
        <w:spacing w:after="0" w:line="120" w:lineRule="exact"/>
        <w:rPr>
          <w:sz w:val="20"/>
          <w:szCs w:val="20"/>
          <w:color w:val="auto"/>
        </w:rPr>
      </w:pPr>
    </w:p>
    <w:p>
      <w:pPr>
        <w:ind w:right="1620"/>
        <w:spacing w:after="0" w:line="414" w:lineRule="auto"/>
        <w:rPr>
          <w:sz w:val="20"/>
          <w:szCs w:val="20"/>
          <w:color w:val="auto"/>
        </w:rPr>
      </w:pPr>
      <w:r>
        <w:rPr>
          <w:rFonts w:ascii="Times New Roman" w:cs="Times New Roman" w:eastAsia="Times New Roman" w:hAnsi="Times New Roman"/>
          <w:sz w:val="18"/>
          <w:szCs w:val="18"/>
          <w:color w:val="auto"/>
        </w:rPr>
        <w:t xml:space="preserve">As of September 30, 2026, the Company was in compliance with all of its financial covenants under the Amended Credit Agreement. </w:t>
      </w:r>
      <w:r>
        <w:rPr>
          <w:rFonts w:ascii="Times New Roman" w:cs="Times New Roman" w:eastAsia="Times New Roman" w:hAnsi="Times New Roman"/>
          <w:sz w:val="18"/>
          <w:szCs w:val="18"/>
          <w:i w:val="1"/>
          <w:iCs w:val="1"/>
          <w:color w:val="auto"/>
        </w:rPr>
        <w:t>Securitization Financing Transactions</w:t>
      </w:r>
    </w:p>
    <w:p>
      <w:pPr>
        <w:spacing w:after="0" w:line="1"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Securitization bonds payable, net represent debt issued by securitization vehicles consolidated by the Company. Senior notes issued by these securitization trusts were generally sold to third parties and subordinated notes retained by the Company. Following expiration of the reinvestment period, payments from underlying collateral loans must be applied to repay the notes until fully paid off, irrespective of the contractual maturities of the loans.</w:t>
      </w:r>
    </w:p>
    <w:p>
      <w:pPr>
        <w:spacing w:after="0" w:line="10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evaluated the key terms in the collateralized loan obligation (“CLO”) governing documents of the issuers of the CRE CLOs (“CRE CLO Issuers”), which are wholly owned subsidiaries of the Company, to determine if they were VIEs and, if</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BRIGHTSPIRE CAPITAL,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9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so, whether the Company was the primary beneficiary and therefore consolidate the CRE CLOs. The Company concluded that the CRE CLO Issuers are VIEs and the Company is the primary beneficiary because it has the ability to control the most significant activities of the CRE CLO Issuers, the obligation to absorb losses to the extent of its equity investments, and the right to receive benefits that could potentially be significant to these entities.</w:t>
      </w:r>
    </w:p>
    <w:p>
      <w:pPr>
        <w:spacing w:after="0" w:line="9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September 30, 2026, the Company had $1.6 billion carrying value of CRE debt investments financed with $1.4 billion of securitization bonds payable, net. As of December 31, 2025, the Company had $1.2 billion carrying value of CRE debt investments financed with $982.1 million of securitization bonds payable, net.</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BRSP 2026-FL3</w:t>
      </w:r>
    </w:p>
    <w:p>
      <w:pPr>
        <w:spacing w:after="0" w:line="16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February 2026, the Company executed a $955.0 million securitization transaction through wholly-owned subsidiaries, BRSP 2026-FL3, Ltd. and BRSP 2026-FL3, LLC (collectively, “BRSP 2026-FL3”), which resulted in the sale of $833.2 million of investment grade notes (the “2026-FL3 Notes”).</w:t>
      </w:r>
    </w:p>
    <w:p>
      <w:pPr>
        <w:spacing w:after="0" w:line="8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BRSP 2026-FL3 includes a six-month ramp-up acquisition period that allows the Company to contribute existing or newly originated loan investments in exchange for $98.3 million in unused proceeds held in BRSP 2026-FL3, subject to the satisfaction of certain conditions set forth in the indenture. At September 30, 2026, the unused proceeds have been fully utilized. BRSP 2026-FL3 also includes a 30-month reinvestment feature that allows the Company to contribute existing or newly originated loan investments in exchange for proceeds from repayments of loans held in BRSP 2026-FL3, subject to the satisfaction of certain conditions set forth in the indenture.</w:t>
      </w:r>
    </w:p>
    <w:p>
      <w:pPr>
        <w:spacing w:after="0" w:line="11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At September 30, 2026, the Company had $955.0 million of unpaid principal balance of CRE debt investments financed with BRSP 2026-FL3. As of September 30, 2026, the securitization reflects an advance rate of 87.3% at a weighted average cost of funds of Term SOFR plus 1.69% (before transaction costs), and is collateralized by a pool of 32 senior loan investments.</w:t>
      </w:r>
    </w:p>
    <w:p>
      <w:pPr>
        <w:spacing w:after="0" w:line="10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Additionally, BRSP 2026-FL3 contains note protection tests that can be triggered as a result of contributed loan defaults, losses, and certain other events outlined in the indenture, beyond established thresholds. A note protection test failure that is not remedied can result in the redirection of interest proceeds from the below investment grade tranches to amortize the most senior outstanding tranche. The Company did not fail any note protection tests during the nine months ended September 30, 2026. While the Company continues to closely monitor all loan investments contributed to BRSP 2026-FL3, a deterioration in the performance of an underlying loan could negatively impact its liquidity position.</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BRSP 2024-FL2</w:t>
      </w:r>
    </w:p>
    <w:p>
      <w:pPr>
        <w:spacing w:after="0" w:line="16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BRSP 2024-FL2 is a $675.0 million securitization vehicle operated through wholly-owned subsidiaries, BRSP 2024-FL2, Ltd. and BRSP 2024-FL2, LLC (collectively, “BRSP 2024-FL2”), which have issued $583.9 million of investment grade notes (the “2024-FL2 Notes”).</w:t>
      </w:r>
    </w:p>
    <w:p>
      <w:pPr>
        <w:spacing w:after="0" w:line="9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BRSP 2024-FL2 includes a two-year reinvestment feature that allows the Company to contribute existing or newly originated loan investments in exchange for proceeds from repayments of loans held in BRSP 2024-FL2, subject to the satisfaction of certain conditions set forth in the indenture. At September 30, 2026, the Company had $628.9 million of unpaid principal balance of CRE debt investments and other assets financed with BRSP 2024-FL2. As of September 30, 2026, the securitization reflects an advance rate of 85.5% at a weighted average cost of funds of Term SOFR plus 2.51% (before transaction costs), and is collateralized by a pool of 26 senior loan investments.</w:t>
      </w:r>
    </w:p>
    <w:p>
      <w:pPr>
        <w:spacing w:after="0" w:line="10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Additionally, BRSP 2024-FL2 contains note protection tests that can be triggered as a result of contributed loan defaults, losses, and certain other events outlined in the indenture, beyond established thresholds. A note protection test failure that is not remedied can result in the redirection of interest proceeds from the below investment grade tranches to amortize the most senior outstanding tranche. The Company did not fail any note protection tests during the nine months ended September 30, 2026. While the Company continues to closely monitor all loan investments contributed to BRSP 2024-FL2, a deterioration in the performance of an underlying loan could negatively impact its liquidity position.</w:t>
      </w:r>
    </w:p>
    <w:p>
      <w:pPr>
        <w:spacing w:after="0" w:line="11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October 19, 2026, the Company redeemed the outstanding securities under the BRSP 2024-FL2 securitization vehicle, including the investment grade bonds, which totaled $537.8 million.</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BRSP 2021-FL1</w:t>
      </w:r>
    </w:p>
    <w:p>
      <w:pPr>
        <w:spacing w:after="0" w:line="14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February 19, 2026, the Company redeemed the outstanding securities under the securitization vehicle operated through wholly-owned subsidiaries, BRSP 2021-FL1, Ltd and BRSP 2021-FL1, LLC (collectively, “BRSP 2021-FL1”) including the investment grade notes issued thereunder, at a redemption price of $310.7 million. The 17 senior loan investments, with an</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BRIGHTSPIRE CAPITAL,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9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aggregate unpaid principal balance of $440.8 million, held by BRSP 2021-FL1 were refinanced by the issuance of securities under BRSP 2026-FL3 and with existing Master Repurchase Facilities.</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BRSP 2026-FL4</w:t>
      </w:r>
    </w:p>
    <w:p>
      <w:pPr>
        <w:spacing w:after="0" w:line="16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October 16, 2026, the Company executed a $960.0 million securitization transaction through wholly-owned subsidiaries, BRSP 2026-FL4, Ltd. and BRSP 2026-FL4, LLC (collectively, “BRSP 2026-FL4”), which resulted in the sale of $844.8 million of investment grade notes (the “2026-FL4 Notes”). The securitization reflects an initial advance rate of 88.0% at a weighted average coupon at issuance of Term SOFR+1.54% (before transaction costs) and is collateralized by a pool of 29 first-lien floating-rate mortgages secured by 38 properties.</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Master Repurchase Facilities</w:t>
      </w:r>
    </w:p>
    <w:p>
      <w:pPr>
        <w:spacing w:after="0" w:line="14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As of September 30, 2026, the Company, through subsidiaries, had entered into repurchase agreements with multiple global financial institutions to provide an aggregate principal amount of up to $2.4 billion to finance the origination of first mortgage loans and senior loan participations secured by senior loan investments (each, a “Master Repurchase Facility” and collectively, the “Master Repurchase Facilities”). The Company agreed to guarantee certain obligations under the Master Repurchase Facilities, which contain representations, warranties, covenants, conditions precedent to funding, events of default and indemnities that are customary for agreements of this type. The Master Repurchase Facilities act as revolving loan facilities that can be paid down as assets are repaid or sold and re-drawn upon for new investments. As of September 30, 2026, the Company was in compliance with all of its financial covenants under the Master Repurchase Facilities.</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September 30, 2026, the Company had $1.6 billion carrying value of CRE debt investments financed with $1.0 billion under the Master Repurchase Facilities. As of December 31, 2025, the Company had $1.5 billion carrying value of CRE debt investments financed with $1.1 billion under the Master Repurchase Facilities.</w:t>
      </w:r>
    </w:p>
    <w:p>
      <w:pPr>
        <w:spacing w:after="0" w:line="10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September 30, 2026, the Company had three counterparties, Bank 1, Bank 3 and Bank 5, with net exposure (collateral that exceeded amounts borrowed) totaling more than 10% of the Company’s total equity. As of September 30, 2026, the Company’s net exposure to Bank 1, Bank 3 and Bank 5 was $281.7 million, $98.8 million and $96.8 million, respectively.</w:t>
      </w:r>
    </w:p>
    <w:p>
      <w:pPr>
        <w:spacing w:after="0" w:line="9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December 31, 2025, the Company had three counterparties, Bank 1, Bank 2 and Bank 3, with net exposure totaling more than 10% of the Company’s total equity. As of December 31, 2025, the Company’s net exposure to Bank 1, Bank 2 and Bank 3 was $216.4 million, $100.0 million and $122.0 million, respectively.</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Related Party Arrangements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had no related party transactions as of and for the nine months ended September 30, 2026 and 2025.</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Equity-Based Compensation</w:t>
      </w:r>
    </w:p>
    <w:p>
      <w:pPr>
        <w:spacing w:after="0" w:line="16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March 30, 2026, the Company’s board of directors adopted, and at the annual meeting of stockholders held on May 13, 2026, the stockholders approved the second amendment to the 2022 Equity Incentive Plan (as amended, the “2022 Plan”), which was effective as of May 13, 2026 and increases the total number of shares of the Class A common stock issuable by 10.0 million shares (subject to adjustment pursuant to the terms of the 2022 Plan). The 2022 Plan terminates on May 4, 2032. Awards may be granted under the 2022 Plan to (x) any employee, officer, director, consultant or advisor (who is a natural person) providing services to the Company, or its affiliates and (y) any other individual whose participation in the 2022 Plan is determined to be in the best interests of the Company. The following types of awards may be made under the 2022 Plan, subject to the limitations set forth in the plan: (i) stock options (which may be either incentive stock options or non-qualified stock options); (ii) stock appreciation rights; (iii) restricted stock awards; (iv) stock units; (v) unrestricted stock awards; (vi) dividend equivalent rights; (vii) performance awards; (viii) annual cash incentive awards; (ix) long-term incentive units; and (x) other equity-based awards.</w:t>
      </w:r>
    </w:p>
    <w:p>
      <w:pPr>
        <w:spacing w:after="0" w:line="12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Shares subject to an award granted under the 2022 Plan will be counted against the maximum number of shares of Class A common stock available for issuance thereunder as one share of Class A common stock for every one share of Class A common stock subject to such an award. Shares subject to an award granted under the 2022 Plan will again become available for issuance under the 2022 Plan if the award terminates by expiration, forfeiture, cancellation, or otherwise without the issuance of such shares (except as set forth in the following sentence). The number of shares of Class A common stock available for issuance under the 2022 Plan will not be increased by (i) any shares tendered or withheld in connection with the purchase of shares upon exercise of a stock option, (ii) any shares deducted or delivered in connection with the Company’s tax withholding obligations, or (iii) any shares purchased by the Company with proceeds from stock option exercises. Shares granted to non-</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BRIGHTSPIRE CAPITAL,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independent directors, officers and employees, if applicable, generally vest ratably in three annual installments following the grant date.</w:t>
      </w:r>
    </w:p>
    <w:p>
      <w:pPr>
        <w:spacing w:after="0" w:line="14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March 16, 2026, the Company granted 1,907,157 shares of Class A common stock to certain of its employees, including executive officers. The shares vest in one-third increments on March 15, 2027, March 15, 2028 and March 15, 2029.</w:t>
      </w:r>
    </w:p>
    <w:p>
      <w:pPr>
        <w:spacing w:after="0" w:line="9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May 20, 2026, the Company granted 88,340 shares of Class A common stock to the non-employee directors of the Company which vest on May 20, 2027.</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Equity-Based Compensation Expense</w:t>
      </w:r>
    </w:p>
    <w:p>
      <w:pPr>
        <w:spacing w:after="0" w:line="14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connection with the share grants, the Company recognized share-based compensation expense of $3.6 million and $9.9 million within compensation and benefits in the consolidated statements of operations for the three and nine months ended September 30, 2026, respectively. In connection with the share grants, the Company recognized share-based compensation expense of $2.8 million and $9.9 million within compensation and benefits in the consolidated statements of operations for the three and nine months ended September 30, 2025, respectively.</w:t>
      </w:r>
    </w:p>
    <w:p>
      <w:pPr>
        <w:spacing w:after="0" w:line="110"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i w:val="1"/>
          <w:iCs w:val="1"/>
          <w:color w:val="auto"/>
        </w:rPr>
        <w:t>Restricted Stock</w:t>
      </w:r>
      <w:r>
        <w:rPr>
          <w:rFonts w:ascii="Times New Roman" w:cs="Times New Roman" w:eastAsia="Times New Roman" w:hAnsi="Times New Roman"/>
          <w:sz w:val="18"/>
          <w:szCs w:val="18"/>
          <w:color w:val="auto"/>
        </w:rPr>
        <w:t>—Restricted stock awards relating to the Company’s Class A common stock are granted to non-employee directors of the Company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generally vest within one year. Restricted stock awards are granted to certain employees of the Company, with service conditions only and are generally subject to annual time-based vesting in equal tranches over a three-year period. Restricted stock is entitled to dividends declared and paid on the Company’s Class A common stock and such dividends are not forfeitable prior to vesting of the award. Restricted stock awards are valued based on the Company’s Class A common stock price on grant date and equity-based compensation expense is recognized on a straight-line basis over the requisite three-year service period.</w:t>
      </w:r>
    </w:p>
    <w:p>
      <w:pPr>
        <w:spacing w:after="0" w:line="11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i w:val="1"/>
          <w:iCs w:val="1"/>
          <w:color w:val="auto"/>
        </w:rPr>
        <w:t>Performance Stock Units (“PSU”)</w:t>
      </w:r>
      <w:r>
        <w:rPr>
          <w:rFonts w:ascii="Times New Roman" w:cs="Times New Roman" w:eastAsia="Times New Roman" w:hAnsi="Times New Roman"/>
          <w:sz w:val="18"/>
          <w:szCs w:val="18"/>
          <w:color w:val="auto"/>
        </w:rPr>
        <w:t>—PSUs are granted to certain employees of the Company and are subject to both a service condition and a market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condition. Following the end of the measurement period for the PSUs, the recipients of PSUs may be eligible to vest in all or a portion of PSUs granted, and be issued a number of shares of the Company’s Class A common stock, ranging from 0% to 200% of the number of PSUs granted and eligible to vest, to be determined based upon the Company’s total shareholder return relative to certain peer group companies at the end of a three-year measurement period for the 2024 PSU grant (the “2024 Grant”), the 2025 PSU grant (the “2025 Grant”) and the 2026 PSU grant (the “2026 Grant”). PSUs also contain dividend equivalent rights which entitle the recipients to a payment equal to the amount of dividends that would have been paid on the shares that are ultimately issued at the end of the measurement period.</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Fair value of PSUs, including dividend equivalent rights, was determined using a Monte Carlo simulation, with the following assumptions.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580" w:type="dxa"/>
            <w:vAlign w:val="bottom"/>
          </w:tcPr>
          <w:p>
            <w:pPr>
              <w:spacing w:after="0"/>
              <w:rPr>
                <w:sz w:val="16"/>
                <w:szCs w:val="16"/>
                <w:color w:val="auto"/>
              </w:rPr>
            </w:pPr>
          </w:p>
        </w:tc>
        <w:tc>
          <w:tcPr>
            <w:tcW w:w="1300" w:type="dxa"/>
            <w:vAlign w:val="bottom"/>
          </w:tcPr>
          <w:p>
            <w:pPr>
              <w:ind w:left="560"/>
              <w:spacing w:after="0"/>
              <w:rPr>
                <w:sz w:val="20"/>
                <w:szCs w:val="20"/>
                <w:color w:val="auto"/>
              </w:rPr>
            </w:pPr>
            <w:r>
              <w:rPr>
                <w:rFonts w:ascii="Times New Roman" w:cs="Times New Roman" w:eastAsia="Times New Roman" w:hAnsi="Times New Roman"/>
                <w:sz w:val="14"/>
                <w:szCs w:val="14"/>
                <w:b w:val="1"/>
                <w:bCs w:val="1"/>
                <w:color w:val="auto"/>
              </w:rPr>
              <w:t>2026 Grant</w:t>
            </w: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920" w:type="dxa"/>
            <w:vAlign w:val="bottom"/>
            <w:gridSpan w:val="2"/>
          </w:tcPr>
          <w:p>
            <w:pPr>
              <w:ind w:left="560"/>
              <w:spacing w:after="0"/>
              <w:rPr>
                <w:sz w:val="20"/>
                <w:szCs w:val="20"/>
                <w:color w:val="auto"/>
              </w:rPr>
            </w:pPr>
            <w:r>
              <w:rPr>
                <w:rFonts w:ascii="Times New Roman" w:cs="Times New Roman" w:eastAsia="Times New Roman" w:hAnsi="Times New Roman"/>
                <w:sz w:val="14"/>
                <w:szCs w:val="14"/>
                <w:b w:val="1"/>
                <w:bCs w:val="1"/>
                <w:color w:val="auto"/>
              </w:rPr>
              <w:t>2025 Grant</w:t>
            </w:r>
          </w:p>
        </w:tc>
        <w:tc>
          <w:tcPr>
            <w:tcW w:w="1820" w:type="dxa"/>
            <w:vAlign w:val="bottom"/>
          </w:tcPr>
          <w:p>
            <w:pPr>
              <w:jc w:val="right"/>
              <w:ind w:right="481"/>
              <w:spacing w:after="0"/>
              <w:rPr>
                <w:sz w:val="20"/>
                <w:szCs w:val="20"/>
                <w:color w:val="auto"/>
              </w:rPr>
            </w:pPr>
            <w:r>
              <w:rPr>
                <w:rFonts w:ascii="Times New Roman" w:cs="Times New Roman" w:eastAsia="Times New Roman" w:hAnsi="Times New Roman"/>
                <w:sz w:val="14"/>
                <w:szCs w:val="14"/>
                <w:b w:val="1"/>
                <w:bCs w:val="1"/>
                <w:color w:val="auto"/>
              </w:rPr>
              <w:t>2024 Grant</w:t>
            </w:r>
          </w:p>
        </w:tc>
      </w:tr>
      <w:tr>
        <w:trPr>
          <w:trHeight w:val="23"/>
        </w:trPr>
        <w:tc>
          <w:tcPr>
            <w:tcW w:w="5580" w:type="dxa"/>
            <w:vAlign w:val="bottom"/>
            <w:tcBorders>
              <w:bottom w:val="single" w:sz="8" w:color="CCEEFF"/>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r>
      <w:tr>
        <w:trPr>
          <w:trHeight w:val="223"/>
        </w:trPr>
        <w:tc>
          <w:tcPr>
            <w:tcW w:w="6880" w:type="dxa"/>
            <w:vAlign w:val="bottom"/>
            <w:gridSpan w:val="2"/>
            <w:shd w:val="clear" w:color="auto" w:fill="CCEEFF"/>
          </w:tcPr>
          <w:p>
            <w:pPr>
              <w:ind w:left="20"/>
              <w:spacing w:after="0" w:line="223" w:lineRule="exact"/>
              <w:rPr>
                <w:sz w:val="20"/>
                <w:szCs w:val="20"/>
                <w:color w:val="auto"/>
              </w:rPr>
            </w:pPr>
            <w:r>
              <w:rPr>
                <w:rFonts w:ascii="Times New Roman" w:cs="Times New Roman" w:eastAsia="Times New Roman" w:hAnsi="Times New Roman"/>
                <w:sz w:val="16"/>
                <w:szCs w:val="16"/>
                <w:color w:val="auto"/>
              </w:rPr>
              <w:t>Expected volatility</w:t>
            </w:r>
            <w:r>
              <w:rPr>
                <w:rFonts w:ascii="Times New Roman" w:cs="Times New Roman" w:eastAsia="Times New Roman" w:hAnsi="Times New Roman"/>
                <w:sz w:val="21"/>
                <w:szCs w:val="21"/>
                <w:color w:val="auto"/>
                <w:vertAlign w:val="superscript"/>
              </w:rPr>
              <w:t>(1)</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30.5 %</w:t>
            </w:r>
          </w:p>
        </w:tc>
        <w:tc>
          <w:tcPr>
            <w:tcW w:w="10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35.7 %</w:t>
            </w:r>
          </w:p>
        </w:tc>
        <w:tc>
          <w:tcPr>
            <w:tcW w:w="10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35.6 %</w:t>
            </w:r>
          </w:p>
        </w:tc>
      </w:tr>
      <w:tr>
        <w:trPr>
          <w:trHeight w:val="230"/>
        </w:trPr>
        <w:tc>
          <w:tcPr>
            <w:tcW w:w="6880" w:type="dxa"/>
            <w:vAlign w:val="bottom"/>
            <w:gridSpan w:val="2"/>
          </w:tcPr>
          <w:p>
            <w:pPr>
              <w:ind w:left="20"/>
              <w:spacing w:after="0" w:line="230" w:lineRule="exact"/>
              <w:rPr>
                <w:sz w:val="20"/>
                <w:szCs w:val="20"/>
                <w:color w:val="auto"/>
              </w:rPr>
            </w:pPr>
            <w:r>
              <w:rPr>
                <w:rFonts w:ascii="Times New Roman" w:cs="Times New Roman" w:eastAsia="Times New Roman" w:hAnsi="Times New Roman"/>
                <w:sz w:val="16"/>
                <w:szCs w:val="16"/>
                <w:color w:val="auto"/>
              </w:rPr>
              <w:t>Risk free rate</w:t>
            </w:r>
            <w:r>
              <w:rPr>
                <w:rFonts w:ascii="Times New Roman" w:cs="Times New Roman" w:eastAsia="Times New Roman" w:hAnsi="Times New Roman"/>
                <w:sz w:val="21"/>
                <w:szCs w:val="21"/>
                <w:color w:val="auto"/>
                <w:vertAlign w:val="superscript"/>
              </w:rPr>
              <w:t>(2)</w:t>
            </w: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4.0 %</w:t>
            </w:r>
          </w:p>
        </w:tc>
        <w:tc>
          <w:tcPr>
            <w:tcW w:w="10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4.0 %</w:t>
            </w:r>
          </w:p>
        </w:tc>
        <w:tc>
          <w:tcPr>
            <w:tcW w:w="10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4.3 %</w:t>
            </w:r>
          </w:p>
        </w:tc>
      </w:tr>
      <w:tr>
        <w:trPr>
          <w:trHeight w:val="230"/>
        </w:trPr>
        <w:tc>
          <w:tcPr>
            <w:tcW w:w="6880" w:type="dxa"/>
            <w:vAlign w:val="bottom"/>
            <w:gridSpan w:val="2"/>
            <w:shd w:val="clear" w:color="auto" w:fill="CCEEFF"/>
          </w:tcPr>
          <w:p>
            <w:pPr>
              <w:ind w:left="20"/>
              <w:spacing w:after="0" w:line="230" w:lineRule="exact"/>
              <w:rPr>
                <w:sz w:val="20"/>
                <w:szCs w:val="20"/>
                <w:color w:val="auto"/>
              </w:rPr>
            </w:pPr>
            <w:r>
              <w:rPr>
                <w:rFonts w:ascii="Times New Roman" w:cs="Times New Roman" w:eastAsia="Times New Roman" w:hAnsi="Times New Roman"/>
                <w:sz w:val="16"/>
                <w:szCs w:val="16"/>
                <w:color w:val="auto"/>
              </w:rPr>
              <w:t>Expected dividend yield</w:t>
            </w:r>
            <w:r>
              <w:rPr>
                <w:rFonts w:ascii="Times New Roman" w:cs="Times New Roman" w:eastAsia="Times New Roman" w:hAnsi="Times New Roman"/>
                <w:sz w:val="21"/>
                <w:szCs w:val="21"/>
                <w:color w:val="auto"/>
                <w:vertAlign w:val="superscript"/>
              </w:rPr>
              <w:t>(3)</w:t>
            </w:r>
          </w:p>
        </w:tc>
        <w:tc>
          <w:tcPr>
            <w:tcW w:w="6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19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182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w:t>
            </w:r>
          </w:p>
        </w:tc>
      </w:tr>
    </w:tbl>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_________________________________________</w:t>
      </w:r>
    </w:p>
    <w:p>
      <w:pPr>
        <w:spacing w:after="0" w:line="17" w:lineRule="exact"/>
        <w:rPr>
          <w:sz w:val="20"/>
          <w:szCs w:val="20"/>
          <w:color w:val="auto"/>
        </w:rPr>
      </w:pPr>
    </w:p>
    <w:p>
      <w:pPr>
        <w:ind w:left="320" w:hanging="312"/>
        <w:spacing w:after="0"/>
        <w:tabs>
          <w:tab w:leader="none" w:pos="32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upon the Company’s historical stock volatility.</w:t>
      </w:r>
    </w:p>
    <w:p>
      <w:pPr>
        <w:spacing w:after="0" w:line="11" w:lineRule="exact"/>
        <w:rPr>
          <w:rFonts w:ascii="Times New Roman" w:cs="Times New Roman" w:eastAsia="Times New Roman" w:hAnsi="Times New Roman"/>
          <w:sz w:val="14"/>
          <w:szCs w:val="14"/>
          <w:color w:val="auto"/>
        </w:rPr>
      </w:pPr>
    </w:p>
    <w:p>
      <w:pPr>
        <w:ind w:left="320" w:hanging="312"/>
        <w:spacing w:after="0"/>
        <w:tabs>
          <w:tab w:leader="none" w:pos="32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upon the continuously compounded zero-coupon U.S. Treasury yield for the term coinciding with the measurement period of the award as of valuation date.</w:t>
      </w:r>
    </w:p>
    <w:p>
      <w:pPr>
        <w:spacing w:after="0" w:line="14" w:lineRule="exact"/>
        <w:rPr>
          <w:rFonts w:ascii="Times New Roman" w:cs="Times New Roman" w:eastAsia="Times New Roman" w:hAnsi="Times New Roman"/>
          <w:sz w:val="14"/>
          <w:szCs w:val="14"/>
          <w:color w:val="auto"/>
        </w:rPr>
      </w:pPr>
    </w:p>
    <w:p>
      <w:pPr>
        <w:ind w:left="320" w:hanging="312"/>
        <w:spacing w:after="0"/>
        <w:tabs>
          <w:tab w:leader="none" w:pos="32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upon award holders being entitled to dividends paid during the measurement period on any shares earned.</w:t>
      </w:r>
    </w:p>
    <w:p>
      <w:pPr>
        <w:spacing w:after="0" w:line="14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Fair value of PSU awards, excluding dividend equivalent rights, is generally recognized on a straight-line basis over their measurement period as compensation expense, except when certain performance metrics are achieved. Following the completion of the measurement period for the 2023 Grant, the Company issued 603,478 shares of Class A common stock to certain of its employees in March 2026.</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BRIGHTSPIRE CAPITAL,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90"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table below summarizes the Company’s awards granted, forfeited or vested under the 2022 Plan during the nine months ended September 30, 2026 and 2025:</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90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Number of Shares</w:t>
            </w:r>
          </w:p>
        </w:tc>
        <w:tc>
          <w:tcPr>
            <w:tcW w:w="1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740" w:type="dxa"/>
            <w:vAlign w:val="bottom"/>
            <w:gridSpan w:val="4"/>
          </w:tcPr>
          <w:p>
            <w:pPr>
              <w:jc w:val="right"/>
              <w:ind w:right="79"/>
              <w:spacing w:after="0"/>
              <w:rPr>
                <w:sz w:val="20"/>
                <w:szCs w:val="20"/>
                <w:color w:val="auto"/>
              </w:rPr>
            </w:pPr>
            <w:r>
              <w:rPr>
                <w:rFonts w:ascii="Times New Roman" w:cs="Times New Roman" w:eastAsia="Times New Roman" w:hAnsi="Times New Roman"/>
                <w:sz w:val="14"/>
                <w:szCs w:val="14"/>
                <w:b w:val="1"/>
                <w:bCs w:val="1"/>
                <w:color w:val="auto"/>
              </w:rPr>
              <w:t>Weighted Average Grant Date Fair Value</w:t>
            </w:r>
          </w:p>
        </w:tc>
      </w:tr>
      <w:tr>
        <w:trPr>
          <w:trHeight w:val="23"/>
        </w:trPr>
        <w:tc>
          <w:tcPr>
            <w:tcW w:w="3900" w:type="dxa"/>
            <w:vAlign w:val="bottom"/>
          </w:tcPr>
          <w:p>
            <w:pPr>
              <w:spacing w:after="0"/>
              <w:rPr>
                <w:sz w:val="2"/>
                <w:szCs w:val="2"/>
                <w:color w:val="auto"/>
              </w:rPr>
            </w:pPr>
          </w:p>
        </w:tc>
        <w:tc>
          <w:tcPr>
            <w:tcW w:w="1500" w:type="dxa"/>
            <w:vAlign w:val="bottom"/>
            <w:tcBorders>
              <w:bottom w:val="single" w:sz="8" w:color="auto"/>
            </w:tcBorders>
            <w:gridSpan w:val="2"/>
          </w:tcPr>
          <w:p>
            <w:pPr>
              <w:spacing w:after="0"/>
              <w:rPr>
                <w:sz w:val="2"/>
                <w:szCs w:val="2"/>
                <w:color w:val="auto"/>
              </w:rPr>
            </w:pPr>
          </w:p>
        </w:tc>
        <w:tc>
          <w:tcPr>
            <w:tcW w:w="1480" w:type="dxa"/>
            <w:vAlign w:val="bottom"/>
            <w:tcBorders>
              <w:bottom w:val="single" w:sz="8" w:color="auto"/>
            </w:tcBorders>
            <w:gridSpan w:val="2"/>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2"/>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186"/>
        </w:trPr>
        <w:tc>
          <w:tcPr>
            <w:tcW w:w="3900" w:type="dxa"/>
            <w:vAlign w:val="bottom"/>
          </w:tcPr>
          <w:p>
            <w:pPr>
              <w:spacing w:after="0"/>
              <w:rPr>
                <w:sz w:val="16"/>
                <w:szCs w:val="16"/>
                <w:color w:val="auto"/>
              </w:rPr>
            </w:pPr>
          </w:p>
        </w:tc>
        <w:tc>
          <w:tcPr>
            <w:tcW w:w="150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Restricted Stock</w:t>
            </w:r>
          </w:p>
        </w:tc>
        <w:tc>
          <w:tcPr>
            <w:tcW w:w="14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PSUs</w:t>
            </w:r>
          </w:p>
        </w:tc>
        <w:tc>
          <w:tcPr>
            <w:tcW w:w="1380" w:type="dxa"/>
            <w:vAlign w:val="bottom"/>
          </w:tcPr>
          <w:p>
            <w:pPr>
              <w:jc w:val="right"/>
              <w:ind w:right="439"/>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4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Restricted Stock</w:t>
            </w:r>
          </w:p>
        </w:tc>
        <w:tc>
          <w:tcPr>
            <w:tcW w:w="320" w:type="dxa"/>
            <w:vAlign w:val="bottom"/>
          </w:tcPr>
          <w:p>
            <w:pPr>
              <w:spacing w:after="0"/>
              <w:rPr>
                <w:sz w:val="16"/>
                <w:szCs w:val="16"/>
                <w:color w:val="auto"/>
              </w:rPr>
            </w:pPr>
          </w:p>
        </w:tc>
        <w:tc>
          <w:tcPr>
            <w:tcW w:w="1080" w:type="dxa"/>
            <w:vAlign w:val="bottom"/>
          </w:tcPr>
          <w:p>
            <w:pPr>
              <w:jc w:val="right"/>
              <w:ind w:right="459"/>
              <w:spacing w:after="0"/>
              <w:rPr>
                <w:sz w:val="20"/>
                <w:szCs w:val="20"/>
                <w:color w:val="auto"/>
              </w:rPr>
            </w:pPr>
            <w:r>
              <w:rPr>
                <w:rFonts w:ascii="Times New Roman" w:cs="Times New Roman" w:eastAsia="Times New Roman" w:hAnsi="Times New Roman"/>
                <w:sz w:val="14"/>
                <w:szCs w:val="14"/>
                <w:b w:val="1"/>
                <w:bCs w:val="1"/>
                <w:color w:val="auto"/>
              </w:rPr>
              <w:t>PSUs</w:t>
            </w:r>
          </w:p>
        </w:tc>
      </w:tr>
      <w:tr>
        <w:trPr>
          <w:trHeight w:val="23"/>
        </w:trPr>
        <w:tc>
          <w:tcPr>
            <w:tcW w:w="3900" w:type="dxa"/>
            <w:vAlign w:val="bottom"/>
            <w:tcBorders>
              <w:bottom w:val="single" w:sz="8" w:color="CCEEFF"/>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37"/>
        </w:trPr>
        <w:tc>
          <w:tcPr>
            <w:tcW w:w="3900" w:type="dxa"/>
            <w:vAlign w:val="bottom"/>
            <w:shd w:val="clear" w:color="auto" w:fill="CCEEFF"/>
          </w:tcPr>
          <w:p>
            <w:pPr>
              <w:spacing w:after="0"/>
              <w:rPr>
                <w:sz w:val="20"/>
                <w:szCs w:val="20"/>
                <w:color w:val="auto"/>
              </w:rPr>
            </w:pPr>
          </w:p>
        </w:tc>
        <w:tc>
          <w:tcPr>
            <w:tcW w:w="14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3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3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r>
      <w:tr>
        <w:trPr>
          <w:trHeight w:val="227"/>
        </w:trPr>
        <w:tc>
          <w:tcPr>
            <w:tcW w:w="39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Unvested shares at December 31, 2024</w:t>
            </w: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2,742,917</w:t>
            </w:r>
          </w:p>
        </w:tc>
        <w:tc>
          <w:tcPr>
            <w:tcW w:w="1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918,434</w:t>
            </w:r>
          </w:p>
        </w:tc>
        <w:tc>
          <w:tcPr>
            <w:tcW w:w="1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3,661,351</w:t>
            </w:r>
          </w:p>
        </w:tc>
        <w:tc>
          <w:tcPr>
            <w:tcW w:w="24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6.92</w:t>
            </w:r>
          </w:p>
        </w:tc>
        <w:tc>
          <w:tcPr>
            <w:tcW w:w="80" w:type="dxa"/>
            <w:vAlign w:val="bottom"/>
          </w:tcPr>
          <w:p>
            <w:pPr>
              <w:spacing w:after="0"/>
              <w:rPr>
                <w:sz w:val="19"/>
                <w:szCs w:val="19"/>
                <w:color w:val="auto"/>
              </w:rPr>
            </w:pPr>
          </w:p>
        </w:tc>
        <w:tc>
          <w:tcPr>
            <w:tcW w:w="32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8.60</w:t>
            </w:r>
          </w:p>
        </w:tc>
      </w:tr>
      <w:tr>
        <w:trPr>
          <w:trHeight w:val="233"/>
        </w:trPr>
        <w:tc>
          <w:tcPr>
            <w:tcW w:w="3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Granted</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1,618,509</w:t>
            </w:r>
          </w:p>
        </w:tc>
        <w:tc>
          <w:tcPr>
            <w:tcW w:w="100" w:type="dxa"/>
            <w:vAlign w:val="bottom"/>
            <w:shd w:val="clear" w:color="auto" w:fill="CCEEFF"/>
          </w:tcPr>
          <w:p>
            <w:pPr>
              <w:spacing w:after="0"/>
              <w:rPr>
                <w:sz w:val="20"/>
                <w:szCs w:val="20"/>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542,789</w:t>
            </w:r>
          </w:p>
        </w:tc>
        <w:tc>
          <w:tcPr>
            <w:tcW w:w="100" w:type="dxa"/>
            <w:vAlign w:val="bottom"/>
            <w:shd w:val="clear" w:color="auto" w:fill="CCEEFF"/>
          </w:tcPr>
          <w:p>
            <w:pPr>
              <w:spacing w:after="0"/>
              <w:rPr>
                <w:sz w:val="20"/>
                <w:szCs w:val="20"/>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2,161,298</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5.97</w:t>
            </w:r>
          </w:p>
        </w:tc>
        <w:tc>
          <w:tcPr>
            <w:tcW w:w="8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6.78</w:t>
            </w:r>
          </w:p>
        </w:tc>
      </w:tr>
      <w:tr>
        <w:trPr>
          <w:trHeight w:val="227"/>
        </w:trPr>
        <w:tc>
          <w:tcPr>
            <w:tcW w:w="39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Vested</w:t>
            </w: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(1,428,999)</w:t>
            </w:r>
          </w:p>
        </w:tc>
        <w:tc>
          <w:tcPr>
            <w:tcW w:w="100" w:type="dxa"/>
            <w:vAlign w:val="bottom"/>
          </w:tcPr>
          <w:p>
            <w:pPr>
              <w:spacing w:after="0"/>
              <w:rPr>
                <w:sz w:val="19"/>
                <w:szCs w:val="19"/>
                <w:color w:val="auto"/>
              </w:rPr>
            </w:pPr>
          </w:p>
        </w:tc>
        <w:tc>
          <w:tcPr>
            <w:tcW w:w="14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(1,428,999)</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7.21</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51"/>
        </w:trPr>
        <w:tc>
          <w:tcPr>
            <w:tcW w:w="39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Unvested shares at March 31, 2025</w:t>
            </w:r>
          </w:p>
        </w:tc>
        <w:tc>
          <w:tcPr>
            <w:tcW w:w="1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2,932,427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1,461,223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4,393,650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CCEEFF"/>
              <w:bottom w:val="single" w:sz="8" w:color="CCEEFF"/>
            </w:tcBorders>
            <w:shd w:val="clear" w:color="auto" w:fill="CCEEFF"/>
          </w:tcPr>
          <w:p>
            <w:pPr>
              <w:spacing w:after="0"/>
              <w:rPr>
                <w:sz w:val="21"/>
                <w:szCs w:val="21"/>
                <w:color w:val="auto"/>
              </w:rPr>
            </w:pPr>
          </w:p>
        </w:tc>
        <w:tc>
          <w:tcPr>
            <w:tcW w:w="126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6.25</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CCEEFF"/>
              <w:bottom w:val="single" w:sz="8" w:color="CCEEFF"/>
            </w:tcBorders>
            <w:shd w:val="clear" w:color="auto" w:fill="CCEEFF"/>
          </w:tcPr>
          <w:p>
            <w:pPr>
              <w:spacing w:after="0"/>
              <w:rPr>
                <w:sz w:val="21"/>
                <w:szCs w:val="21"/>
                <w:color w:val="auto"/>
              </w:rPr>
            </w:pPr>
          </w:p>
        </w:tc>
        <w:tc>
          <w:tcPr>
            <w:tcW w:w="108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7.93</w:t>
            </w:r>
          </w:p>
        </w:tc>
      </w:tr>
      <w:tr>
        <w:trPr>
          <w:trHeight w:val="20"/>
        </w:trPr>
        <w:tc>
          <w:tcPr>
            <w:tcW w:w="390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r>
      <w:tr>
        <w:trPr>
          <w:trHeight w:val="201"/>
        </w:trPr>
        <w:tc>
          <w:tcPr>
            <w:tcW w:w="39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Granted</w:t>
            </w: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92,940</w:t>
            </w:r>
          </w:p>
        </w:tc>
        <w:tc>
          <w:tcPr>
            <w:tcW w:w="100" w:type="dxa"/>
            <w:vAlign w:val="bottom"/>
          </w:tcPr>
          <w:p>
            <w:pPr>
              <w:spacing w:after="0"/>
              <w:rPr>
                <w:sz w:val="17"/>
                <w:szCs w:val="17"/>
                <w:color w:val="auto"/>
              </w:rPr>
            </w:pPr>
          </w:p>
        </w:tc>
        <w:tc>
          <w:tcPr>
            <w:tcW w:w="14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92,940</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5.27</w:t>
            </w: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29"/>
        </w:trPr>
        <w:tc>
          <w:tcPr>
            <w:tcW w:w="3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Vested</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(79,495)</w:t>
            </w:r>
          </w:p>
        </w:tc>
        <w:tc>
          <w:tcPr>
            <w:tcW w:w="10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(79,495)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5.27</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199"/>
        </w:trPr>
        <w:tc>
          <w:tcPr>
            <w:tcW w:w="39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Unvested shares at June 30, 2025</w:t>
            </w:r>
          </w:p>
        </w:tc>
        <w:tc>
          <w:tcPr>
            <w:tcW w:w="1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2,945,872</w:t>
            </w:r>
          </w:p>
        </w:tc>
        <w:tc>
          <w:tcPr>
            <w:tcW w:w="100" w:type="dxa"/>
            <w:vAlign w:val="bottom"/>
          </w:tcPr>
          <w:p>
            <w:pPr>
              <w:spacing w:after="0"/>
              <w:rPr>
                <w:sz w:val="17"/>
                <w:szCs w:val="17"/>
                <w:color w:val="auto"/>
              </w:rPr>
            </w:pPr>
          </w:p>
        </w:tc>
        <w:tc>
          <w:tcPr>
            <w:tcW w:w="1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1,461,223</w:t>
            </w:r>
          </w:p>
        </w:tc>
        <w:tc>
          <w:tcPr>
            <w:tcW w:w="100" w:type="dxa"/>
            <w:vAlign w:val="bottom"/>
          </w:tcPr>
          <w:p>
            <w:pPr>
              <w:spacing w:after="0"/>
              <w:rPr>
                <w:sz w:val="17"/>
                <w:szCs w:val="17"/>
                <w:color w:val="auto"/>
              </w:rPr>
            </w:pPr>
          </w:p>
        </w:tc>
        <w:tc>
          <w:tcPr>
            <w:tcW w:w="1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4,407,095</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6.25</w:t>
            </w: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7.93</w:t>
            </w:r>
          </w:p>
        </w:tc>
      </w:tr>
      <w:tr>
        <w:trPr>
          <w:trHeight w:val="20"/>
        </w:trPr>
        <w:tc>
          <w:tcPr>
            <w:tcW w:w="3900" w:type="dxa"/>
            <w:vAlign w:val="bottom"/>
            <w:tcBorders>
              <w:bottom w:val="single" w:sz="8" w:color="CCEEFF"/>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26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CCEEFF"/>
            </w:tcBorders>
          </w:tcPr>
          <w:p>
            <w:pPr>
              <w:spacing w:after="0" w:line="20" w:lineRule="exact"/>
              <w:rPr>
                <w:sz w:val="1"/>
                <w:szCs w:val="1"/>
                <w:color w:val="auto"/>
              </w:rPr>
            </w:pPr>
          </w:p>
        </w:tc>
        <w:tc>
          <w:tcPr>
            <w:tcW w:w="1080" w:type="dxa"/>
            <w:vAlign w:val="bottom"/>
            <w:tcBorders>
              <w:bottom w:val="single" w:sz="8" w:color="CCEEFF"/>
            </w:tcBorders>
          </w:tcPr>
          <w:p>
            <w:pPr>
              <w:spacing w:after="0" w:line="20" w:lineRule="exact"/>
              <w:rPr>
                <w:sz w:val="1"/>
                <w:szCs w:val="1"/>
                <w:color w:val="auto"/>
              </w:rPr>
            </w:pPr>
          </w:p>
        </w:tc>
      </w:tr>
      <w:tr>
        <w:trPr>
          <w:trHeight w:val="237"/>
        </w:trPr>
        <w:tc>
          <w:tcPr>
            <w:tcW w:w="3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Forfeited</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(80,473)</w:t>
            </w:r>
          </w:p>
        </w:tc>
        <w:tc>
          <w:tcPr>
            <w:tcW w:w="100" w:type="dxa"/>
            <w:vAlign w:val="bottom"/>
            <w:shd w:val="clear" w:color="auto" w:fill="CCEEFF"/>
          </w:tcPr>
          <w:p>
            <w:pPr>
              <w:spacing w:after="0"/>
              <w:rPr>
                <w:sz w:val="20"/>
                <w:szCs w:val="20"/>
                <w:color w:val="auto"/>
              </w:rPr>
            </w:pPr>
          </w:p>
        </w:tc>
        <w:tc>
          <w:tcPr>
            <w:tcW w:w="14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(80,473)</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5.54</w:t>
            </w:r>
          </w:p>
        </w:tc>
        <w:tc>
          <w:tcPr>
            <w:tcW w:w="8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39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Unvested shares at September 30, 2025</w:t>
            </w:r>
          </w:p>
        </w:tc>
        <w:tc>
          <w:tcPr>
            <w:tcW w:w="1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2,865,399</w:t>
            </w:r>
          </w:p>
        </w:tc>
        <w:tc>
          <w:tcPr>
            <w:tcW w:w="100" w:type="dxa"/>
            <w:vAlign w:val="bottom"/>
          </w:tcPr>
          <w:p>
            <w:pPr>
              <w:spacing w:after="0"/>
              <w:rPr>
                <w:sz w:val="19"/>
                <w:szCs w:val="19"/>
                <w:color w:val="auto"/>
              </w:rPr>
            </w:pPr>
          </w:p>
        </w:tc>
        <w:tc>
          <w:tcPr>
            <w:tcW w:w="1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1,461,223</w:t>
            </w:r>
          </w:p>
        </w:tc>
        <w:tc>
          <w:tcPr>
            <w:tcW w:w="100" w:type="dxa"/>
            <w:vAlign w:val="bottom"/>
          </w:tcPr>
          <w:p>
            <w:pPr>
              <w:spacing w:after="0"/>
              <w:rPr>
                <w:sz w:val="19"/>
                <w:szCs w:val="19"/>
                <w:color w:val="auto"/>
              </w:rPr>
            </w:pPr>
          </w:p>
        </w:tc>
        <w:tc>
          <w:tcPr>
            <w:tcW w:w="1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4,326,622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6.27</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7.93</w:t>
            </w:r>
          </w:p>
        </w:tc>
      </w:tr>
      <w:tr>
        <w:trPr>
          <w:trHeight w:val="20"/>
        </w:trPr>
        <w:tc>
          <w:tcPr>
            <w:tcW w:w="3900" w:type="dxa"/>
            <w:vAlign w:val="bottom"/>
            <w:tcBorders>
              <w:bottom w:val="single" w:sz="8" w:color="CCEEFF"/>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26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CCEEFF"/>
            </w:tcBorders>
          </w:tcPr>
          <w:p>
            <w:pPr>
              <w:spacing w:after="0" w:line="20" w:lineRule="exact"/>
              <w:rPr>
                <w:sz w:val="1"/>
                <w:szCs w:val="1"/>
                <w:color w:val="auto"/>
              </w:rPr>
            </w:pPr>
          </w:p>
        </w:tc>
        <w:tc>
          <w:tcPr>
            <w:tcW w:w="1080" w:type="dxa"/>
            <w:vAlign w:val="bottom"/>
            <w:tcBorders>
              <w:bottom w:val="single" w:sz="8" w:color="CCEEFF"/>
            </w:tcBorders>
          </w:tcPr>
          <w:p>
            <w:pPr>
              <w:spacing w:after="0" w:line="20" w:lineRule="exact"/>
              <w:rPr>
                <w:sz w:val="1"/>
                <w:szCs w:val="1"/>
                <w:color w:val="auto"/>
              </w:rPr>
            </w:pPr>
          </w:p>
        </w:tc>
      </w:tr>
      <w:tr>
        <w:trPr>
          <w:trHeight w:val="223"/>
        </w:trPr>
        <w:tc>
          <w:tcPr>
            <w:tcW w:w="390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r>
      <w:tr>
        <w:trPr>
          <w:trHeight w:val="226"/>
        </w:trPr>
        <w:tc>
          <w:tcPr>
            <w:tcW w:w="39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Unvested shares at December 31, 2025</w:t>
            </w: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2,865,399</w:t>
            </w:r>
          </w:p>
        </w:tc>
        <w:tc>
          <w:tcPr>
            <w:tcW w:w="1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1,461,223</w:t>
            </w:r>
          </w:p>
        </w:tc>
        <w:tc>
          <w:tcPr>
            <w:tcW w:w="1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4,326,622</w:t>
            </w:r>
          </w:p>
        </w:tc>
        <w:tc>
          <w:tcPr>
            <w:tcW w:w="24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6.27</w:t>
            </w:r>
          </w:p>
        </w:tc>
        <w:tc>
          <w:tcPr>
            <w:tcW w:w="80" w:type="dxa"/>
            <w:vAlign w:val="bottom"/>
          </w:tcPr>
          <w:p>
            <w:pPr>
              <w:spacing w:after="0"/>
              <w:rPr>
                <w:sz w:val="19"/>
                <w:szCs w:val="19"/>
                <w:color w:val="auto"/>
              </w:rPr>
            </w:pPr>
          </w:p>
        </w:tc>
        <w:tc>
          <w:tcPr>
            <w:tcW w:w="32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7.93</w:t>
            </w:r>
          </w:p>
        </w:tc>
      </w:tr>
      <w:tr>
        <w:trPr>
          <w:trHeight w:val="233"/>
        </w:trPr>
        <w:tc>
          <w:tcPr>
            <w:tcW w:w="3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Granted</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1,907,157</w:t>
            </w:r>
          </w:p>
        </w:tc>
        <w:tc>
          <w:tcPr>
            <w:tcW w:w="100" w:type="dxa"/>
            <w:vAlign w:val="bottom"/>
            <w:shd w:val="clear" w:color="auto" w:fill="CCEEFF"/>
          </w:tcPr>
          <w:p>
            <w:pPr>
              <w:spacing w:after="0"/>
              <w:rPr>
                <w:sz w:val="20"/>
                <w:szCs w:val="20"/>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588,839</w:t>
            </w:r>
          </w:p>
        </w:tc>
        <w:tc>
          <w:tcPr>
            <w:tcW w:w="100" w:type="dxa"/>
            <w:vAlign w:val="bottom"/>
            <w:shd w:val="clear" w:color="auto" w:fill="CCEEFF"/>
          </w:tcPr>
          <w:p>
            <w:pPr>
              <w:spacing w:after="0"/>
              <w:rPr>
                <w:sz w:val="20"/>
                <w:szCs w:val="20"/>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2,495,996</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5.61</w:t>
            </w:r>
          </w:p>
        </w:tc>
        <w:tc>
          <w:tcPr>
            <w:tcW w:w="8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7.08</w:t>
            </w:r>
          </w:p>
        </w:tc>
      </w:tr>
      <w:tr>
        <w:trPr>
          <w:trHeight w:val="227"/>
        </w:trPr>
        <w:tc>
          <w:tcPr>
            <w:tcW w:w="39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Vested</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(1,222,270)</w:t>
            </w:r>
          </w:p>
        </w:tc>
        <w:tc>
          <w:tcPr>
            <w:tcW w:w="100" w:type="dxa"/>
            <w:vAlign w:val="bottom"/>
            <w:tcBorders>
              <w:bottom w:val="single" w:sz="8" w:color="CCEEFF"/>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(384,378)</w:t>
            </w:r>
          </w:p>
        </w:tc>
        <w:tc>
          <w:tcPr>
            <w:tcW w:w="100" w:type="dxa"/>
            <w:vAlign w:val="bottom"/>
            <w:tcBorders>
              <w:bottom w:val="single" w:sz="8" w:color="CCEEFF"/>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(1,606,648)</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126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rPr>
              <w:t>6.50</w:t>
            </w:r>
          </w:p>
        </w:tc>
        <w:tc>
          <w:tcPr>
            <w:tcW w:w="80" w:type="dxa"/>
            <w:vAlign w:val="bottom"/>
            <w:tcBorders>
              <w:bottom w:val="single" w:sz="8" w:color="CCEEFF"/>
            </w:tcBorders>
          </w:tcPr>
          <w:p>
            <w:pPr>
              <w:spacing w:after="0"/>
              <w:rPr>
                <w:sz w:val="19"/>
                <w:szCs w:val="19"/>
                <w:color w:val="auto"/>
              </w:rPr>
            </w:pPr>
          </w:p>
        </w:tc>
        <w:tc>
          <w:tcPr>
            <w:tcW w:w="320" w:type="dxa"/>
            <w:vAlign w:val="bottom"/>
            <w:tcBorders>
              <w:bottom w:val="single" w:sz="8" w:color="CCEEFF"/>
            </w:tcBorders>
          </w:tcPr>
          <w:p>
            <w:pPr>
              <w:spacing w:after="0"/>
              <w:rPr>
                <w:sz w:val="19"/>
                <w:szCs w:val="19"/>
                <w:color w:val="auto"/>
              </w:rPr>
            </w:pPr>
          </w:p>
        </w:tc>
        <w:tc>
          <w:tcPr>
            <w:tcW w:w="108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rPr>
              <w:t>9.69</w:t>
            </w:r>
          </w:p>
        </w:tc>
      </w:tr>
      <w:tr>
        <w:trPr>
          <w:trHeight w:val="251"/>
        </w:trPr>
        <w:tc>
          <w:tcPr>
            <w:tcW w:w="39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Unvested shares at March 31, 2026</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3,550,286</w:t>
            </w:r>
          </w:p>
        </w:tc>
        <w:tc>
          <w:tcPr>
            <w:tcW w:w="1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1,665,684</w:t>
            </w:r>
          </w:p>
        </w:tc>
        <w:tc>
          <w:tcPr>
            <w:tcW w:w="1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5,215,970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5.83</w:t>
            </w:r>
          </w:p>
        </w:tc>
        <w:tc>
          <w:tcPr>
            <w:tcW w:w="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7.22</w:t>
            </w:r>
          </w:p>
        </w:tc>
      </w:tr>
      <w:tr>
        <w:trPr>
          <w:trHeight w:val="20"/>
        </w:trPr>
        <w:tc>
          <w:tcPr>
            <w:tcW w:w="390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r>
      <w:tr>
        <w:trPr>
          <w:trHeight w:val="200"/>
        </w:trPr>
        <w:tc>
          <w:tcPr>
            <w:tcW w:w="39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Granted</w:t>
            </w: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88,340</w:t>
            </w:r>
          </w:p>
        </w:tc>
        <w:tc>
          <w:tcPr>
            <w:tcW w:w="100" w:type="dxa"/>
            <w:vAlign w:val="bottom"/>
          </w:tcPr>
          <w:p>
            <w:pPr>
              <w:spacing w:after="0"/>
              <w:rPr>
                <w:sz w:val="17"/>
                <w:szCs w:val="17"/>
                <w:color w:val="auto"/>
              </w:rPr>
            </w:pPr>
          </w:p>
        </w:tc>
        <w:tc>
          <w:tcPr>
            <w:tcW w:w="14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88,340</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5.70</w:t>
            </w: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46"/>
        </w:trPr>
        <w:tc>
          <w:tcPr>
            <w:tcW w:w="3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Vested</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(92,940)</w:t>
            </w:r>
          </w:p>
        </w:tc>
        <w:tc>
          <w:tcPr>
            <w:tcW w:w="100" w:type="dxa"/>
            <w:vAlign w:val="bottom"/>
            <w:shd w:val="clear" w:color="auto" w:fill="CCEEFF"/>
          </w:tcPr>
          <w:p>
            <w:pPr>
              <w:spacing w:after="0"/>
              <w:rPr>
                <w:sz w:val="21"/>
                <w:szCs w:val="21"/>
                <w:color w:val="auto"/>
              </w:rPr>
            </w:pPr>
          </w:p>
        </w:tc>
        <w:tc>
          <w:tcPr>
            <w:tcW w:w="14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(92,940)</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5.38</w:t>
            </w:r>
          </w:p>
        </w:tc>
        <w:tc>
          <w:tcPr>
            <w:tcW w:w="8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196"/>
        </w:trPr>
        <w:tc>
          <w:tcPr>
            <w:tcW w:w="39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Unvested shares at June 30, 2026</w:t>
            </w:r>
          </w:p>
        </w:tc>
        <w:tc>
          <w:tcPr>
            <w:tcW w:w="1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3,545,686</w:t>
            </w:r>
          </w:p>
        </w:tc>
        <w:tc>
          <w:tcPr>
            <w:tcW w:w="100" w:type="dxa"/>
            <w:vAlign w:val="bottom"/>
          </w:tcPr>
          <w:p>
            <w:pPr>
              <w:spacing w:after="0"/>
              <w:rPr>
                <w:sz w:val="17"/>
                <w:szCs w:val="17"/>
                <w:color w:val="auto"/>
              </w:rPr>
            </w:pPr>
          </w:p>
        </w:tc>
        <w:tc>
          <w:tcPr>
            <w:tcW w:w="1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1,665,684</w:t>
            </w:r>
          </w:p>
        </w:tc>
        <w:tc>
          <w:tcPr>
            <w:tcW w:w="100" w:type="dxa"/>
            <w:vAlign w:val="bottom"/>
          </w:tcPr>
          <w:p>
            <w:pPr>
              <w:spacing w:after="0"/>
              <w:rPr>
                <w:sz w:val="17"/>
                <w:szCs w:val="17"/>
                <w:color w:val="auto"/>
              </w:rPr>
            </w:pPr>
          </w:p>
        </w:tc>
        <w:tc>
          <w:tcPr>
            <w:tcW w:w="1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5,211,370</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5.84</w:t>
            </w: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7.22</w:t>
            </w:r>
          </w:p>
        </w:tc>
      </w:tr>
      <w:tr>
        <w:trPr>
          <w:trHeight w:val="20"/>
        </w:trPr>
        <w:tc>
          <w:tcPr>
            <w:tcW w:w="3900" w:type="dxa"/>
            <w:vAlign w:val="bottom"/>
            <w:tcBorders>
              <w:bottom w:val="single" w:sz="8" w:color="CCEEFF"/>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26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CCEEFF"/>
            </w:tcBorders>
          </w:tcPr>
          <w:p>
            <w:pPr>
              <w:spacing w:after="0" w:line="20" w:lineRule="exact"/>
              <w:rPr>
                <w:sz w:val="1"/>
                <w:szCs w:val="1"/>
                <w:color w:val="auto"/>
              </w:rPr>
            </w:pPr>
          </w:p>
        </w:tc>
        <w:tc>
          <w:tcPr>
            <w:tcW w:w="1080" w:type="dxa"/>
            <w:vAlign w:val="bottom"/>
            <w:tcBorders>
              <w:bottom w:val="single" w:sz="8" w:color="CCEEFF"/>
            </w:tcBorders>
          </w:tcPr>
          <w:p>
            <w:pPr>
              <w:spacing w:after="0" w:line="20" w:lineRule="exact"/>
              <w:rPr>
                <w:sz w:val="1"/>
                <w:szCs w:val="1"/>
                <w:color w:val="auto"/>
              </w:rPr>
            </w:pPr>
          </w:p>
        </w:tc>
      </w:tr>
      <w:tr>
        <w:trPr>
          <w:trHeight w:val="220"/>
        </w:trPr>
        <w:tc>
          <w:tcPr>
            <w:tcW w:w="3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Vested</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(138,640)</w:t>
            </w:r>
          </w:p>
        </w:tc>
        <w:tc>
          <w:tcPr>
            <w:tcW w:w="10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(138,640)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5.59</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26"/>
        </w:trPr>
        <w:tc>
          <w:tcPr>
            <w:tcW w:w="39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Unvested shares at September 30, 2026</w:t>
            </w:r>
          </w:p>
        </w:tc>
        <w:tc>
          <w:tcPr>
            <w:tcW w:w="1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3,407,046</w:t>
            </w:r>
          </w:p>
        </w:tc>
        <w:tc>
          <w:tcPr>
            <w:tcW w:w="100" w:type="dxa"/>
            <w:vAlign w:val="bottom"/>
          </w:tcPr>
          <w:p>
            <w:pPr>
              <w:spacing w:after="0"/>
              <w:rPr>
                <w:sz w:val="19"/>
                <w:szCs w:val="19"/>
                <w:color w:val="auto"/>
              </w:rPr>
            </w:pPr>
          </w:p>
        </w:tc>
        <w:tc>
          <w:tcPr>
            <w:tcW w:w="1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1,665,684</w:t>
            </w:r>
          </w:p>
        </w:tc>
        <w:tc>
          <w:tcPr>
            <w:tcW w:w="100" w:type="dxa"/>
            <w:vAlign w:val="bottom"/>
          </w:tcPr>
          <w:p>
            <w:pPr>
              <w:spacing w:after="0"/>
              <w:rPr>
                <w:sz w:val="19"/>
                <w:szCs w:val="19"/>
                <w:color w:val="auto"/>
              </w:rPr>
            </w:pPr>
          </w:p>
        </w:tc>
        <w:tc>
          <w:tcPr>
            <w:tcW w:w="1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5,072,730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5.85</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7.22</w:t>
            </w:r>
          </w:p>
        </w:tc>
      </w:tr>
      <w:tr>
        <w:trPr>
          <w:trHeight w:val="21"/>
        </w:trPr>
        <w:tc>
          <w:tcPr>
            <w:tcW w:w="390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r>
    </w:tbl>
    <w:p>
      <w:pPr>
        <w:spacing w:after="0" w:line="21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Fair value of equity awards that vested during the nine months ended September 30, 2026 and September 30, 2025, determined based on their respective fair values at vesting date, was $11.4 million and $9.0 million, respectively. Fair value of granted awards is determined based on the closing price of the Class A common stock on the date of vesting of the awards. Equity-based compensation is classified within compensation and benefits in the consolidated statement of operations.</w:t>
      </w:r>
    </w:p>
    <w:p>
      <w:pPr>
        <w:spacing w:after="0" w:line="11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At September 30, 2026, aggregate unrecognized compensation cost for all unvested equity awards was $20.7 million, which is expected to be recognized over a weighted-average period of 2.0 years.</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Stockholders’ Equity</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Authorized Capital</w:t>
      </w:r>
    </w:p>
    <w:p>
      <w:pPr>
        <w:spacing w:after="0" w:line="16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September 30, 2026, the Company had the authority to issue up to 1.0 billion shares of stock, at $0.01 par value per share, consisting of 950.0 million shares of Class A common stock and 50.0 million shares of preferred stock.</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had no shares of preferred stock issued and outstanding as of September 30, 2026 and December 31, 2025.</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BRIGHTSPIRE CAPITAL,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Dividends</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During the nine months ended September 30, 2026 and 2025, the Company declared the following dividends on its common stock:</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82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Declaration Date</w:t>
            </w:r>
          </w:p>
        </w:tc>
        <w:tc>
          <w:tcPr>
            <w:tcW w:w="28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Record Date</w:t>
            </w:r>
          </w:p>
        </w:tc>
        <w:tc>
          <w:tcPr>
            <w:tcW w:w="28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Payment Date</w:t>
            </w:r>
          </w:p>
        </w:tc>
        <w:tc>
          <w:tcPr>
            <w:tcW w:w="27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Per Share</w:t>
            </w:r>
          </w:p>
        </w:tc>
      </w:tr>
      <w:tr>
        <w:trPr>
          <w:trHeight w:val="23"/>
        </w:trPr>
        <w:tc>
          <w:tcPr>
            <w:tcW w:w="27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720" w:type="dxa"/>
            <w:vAlign w:val="bottom"/>
            <w:tcBorders>
              <w:bottom w:val="single" w:sz="8" w:color="auto"/>
            </w:tcBorders>
          </w:tcPr>
          <w:p>
            <w:pPr>
              <w:spacing w:after="0"/>
              <w:rPr>
                <w:sz w:val="2"/>
                <w:szCs w:val="2"/>
                <w:color w:val="auto"/>
              </w:rPr>
            </w:pPr>
          </w:p>
        </w:tc>
      </w:tr>
      <w:tr>
        <w:trPr>
          <w:trHeight w:val="223"/>
        </w:trPr>
        <w:tc>
          <w:tcPr>
            <w:tcW w:w="282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6"/>
                <w:szCs w:val="16"/>
                <w:color w:val="auto"/>
              </w:rPr>
              <w:t>March 16, 2026</w:t>
            </w:r>
          </w:p>
        </w:tc>
        <w:tc>
          <w:tcPr>
            <w:tcW w:w="284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6"/>
                <w:szCs w:val="16"/>
                <w:color w:val="auto"/>
              </w:rPr>
              <w:t>March 31, 2026</w:t>
            </w:r>
          </w:p>
        </w:tc>
        <w:tc>
          <w:tcPr>
            <w:tcW w:w="280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6"/>
                <w:szCs w:val="16"/>
                <w:color w:val="auto"/>
              </w:rPr>
              <w:t>April 15, 2026</w:t>
            </w:r>
          </w:p>
        </w:tc>
        <w:tc>
          <w:tcPr>
            <w:tcW w:w="27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$0.16</w:t>
            </w:r>
          </w:p>
        </w:tc>
      </w:tr>
      <w:tr>
        <w:trPr>
          <w:trHeight w:val="227"/>
        </w:trPr>
        <w:tc>
          <w:tcPr>
            <w:tcW w:w="282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color w:val="auto"/>
              </w:rPr>
              <w:t>June 15, 2026</w:t>
            </w:r>
          </w:p>
        </w:tc>
        <w:tc>
          <w:tcPr>
            <w:tcW w:w="284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rPr>
              <w:t>June 30, 2026</w:t>
            </w:r>
          </w:p>
        </w:tc>
        <w:tc>
          <w:tcPr>
            <w:tcW w:w="280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color w:val="auto"/>
              </w:rPr>
              <w:t>July 15, 2026</w:t>
            </w:r>
          </w:p>
        </w:tc>
        <w:tc>
          <w:tcPr>
            <w:tcW w:w="27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$0.16</w:t>
            </w:r>
          </w:p>
        </w:tc>
      </w:tr>
      <w:tr>
        <w:trPr>
          <w:trHeight w:val="233"/>
        </w:trPr>
        <w:tc>
          <w:tcPr>
            <w:tcW w:w="282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6"/>
                <w:szCs w:val="16"/>
                <w:color w:val="auto"/>
              </w:rPr>
              <w:t>September 14, 2026</w:t>
            </w:r>
          </w:p>
        </w:tc>
        <w:tc>
          <w:tcPr>
            <w:tcW w:w="284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6"/>
                <w:szCs w:val="16"/>
                <w:color w:val="auto"/>
              </w:rPr>
              <w:t>September 30, 2026</w:t>
            </w:r>
          </w:p>
        </w:tc>
        <w:tc>
          <w:tcPr>
            <w:tcW w:w="280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6"/>
                <w:szCs w:val="16"/>
                <w:color w:val="auto"/>
              </w:rPr>
              <w:t>October 14, 2026</w:t>
            </w:r>
          </w:p>
        </w:tc>
        <w:tc>
          <w:tcPr>
            <w:tcW w:w="27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$0.16</w:t>
            </w:r>
          </w:p>
        </w:tc>
      </w:tr>
      <w:tr>
        <w:trPr>
          <w:trHeight w:val="227"/>
        </w:trPr>
        <w:tc>
          <w:tcPr>
            <w:tcW w:w="282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color w:val="auto"/>
              </w:rPr>
              <w:t>March 17, 2025</w:t>
            </w:r>
          </w:p>
        </w:tc>
        <w:tc>
          <w:tcPr>
            <w:tcW w:w="284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rPr>
              <w:t>March 31, 2025</w:t>
            </w:r>
          </w:p>
        </w:tc>
        <w:tc>
          <w:tcPr>
            <w:tcW w:w="280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rPr>
              <w:t>April 15, 2025</w:t>
            </w:r>
          </w:p>
        </w:tc>
        <w:tc>
          <w:tcPr>
            <w:tcW w:w="27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$0.16</w:t>
            </w:r>
          </w:p>
        </w:tc>
      </w:tr>
      <w:tr>
        <w:trPr>
          <w:trHeight w:val="233"/>
        </w:trPr>
        <w:tc>
          <w:tcPr>
            <w:tcW w:w="282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6"/>
                <w:szCs w:val="16"/>
                <w:color w:val="auto"/>
              </w:rPr>
              <w:t>June 16, 2025</w:t>
            </w:r>
          </w:p>
        </w:tc>
        <w:tc>
          <w:tcPr>
            <w:tcW w:w="284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6"/>
                <w:szCs w:val="16"/>
                <w:color w:val="auto"/>
              </w:rPr>
              <w:t>June 30, 2025</w:t>
            </w:r>
          </w:p>
        </w:tc>
        <w:tc>
          <w:tcPr>
            <w:tcW w:w="280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6"/>
                <w:szCs w:val="16"/>
                <w:color w:val="auto"/>
              </w:rPr>
              <w:t>July 14, 2025</w:t>
            </w:r>
          </w:p>
        </w:tc>
        <w:tc>
          <w:tcPr>
            <w:tcW w:w="27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$0.16</w:t>
            </w:r>
          </w:p>
        </w:tc>
      </w:tr>
      <w:tr>
        <w:trPr>
          <w:trHeight w:val="223"/>
        </w:trPr>
        <w:tc>
          <w:tcPr>
            <w:tcW w:w="282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color w:val="auto"/>
              </w:rPr>
              <w:t>September 15, 2025</w:t>
            </w:r>
          </w:p>
        </w:tc>
        <w:tc>
          <w:tcPr>
            <w:tcW w:w="284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rPr>
              <w:t>September 30, 2025</w:t>
            </w:r>
          </w:p>
        </w:tc>
        <w:tc>
          <w:tcPr>
            <w:tcW w:w="280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rPr>
              <w:t>October 15, 2025</w:t>
            </w:r>
          </w:p>
        </w:tc>
        <w:tc>
          <w:tcPr>
            <w:tcW w:w="27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$0.16</w:t>
            </w:r>
          </w:p>
        </w:tc>
      </w:tr>
    </w:tbl>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Share Repurchases</w:t>
      </w:r>
    </w:p>
    <w:p>
      <w:pPr>
        <w:spacing w:after="0" w:line="16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April 2026, the Company’s board of directors have authorized a stock repurchase program (“Stock Repurchase Program”) under which the Company may repurchase up to $50.0 million of its outstanding Class A common stock until April 30, 2027. The Stock Repurchase Program replaces the prior repurchase program authorization which expired on April 30, 2026. Under the Stock Repurchase Program, the Company may repurchase shares in open market purchases, in privately negotiated transactions or otherwise. The Company has a written trading plan as part of the Share Repurchase Program that provides for share repurchases in open market transactions that is intended to comply with Rule 10b-18 under the Exchange Act. The Stock Repurchase Program will be utilized at management’s discretion and in accordance with the requirements of the SEC. The timing and actual number of shares repurchased will depend on a variety of factors including price, corporate requirements and other conditions.</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During the three months ended September 30, 2026, the Company repurchased 2.1 million shares of Class A common stock at a weighted average price of $4.81 per share for an aggregate cost of $9.9 million.</w:t>
      </w:r>
    </w:p>
    <w:p>
      <w:pPr>
        <w:spacing w:after="0" w:line="81" w:lineRule="exact"/>
        <w:rPr>
          <w:sz w:val="20"/>
          <w:szCs w:val="20"/>
          <w:color w:val="auto"/>
        </w:rPr>
      </w:pPr>
    </w:p>
    <w:p>
      <w:pPr>
        <w:ind w:right="1800"/>
        <w:spacing w:after="0" w:line="422" w:lineRule="auto"/>
        <w:rPr>
          <w:sz w:val="20"/>
          <w:szCs w:val="20"/>
          <w:color w:val="auto"/>
        </w:rPr>
      </w:pPr>
      <w:r>
        <w:rPr>
          <w:rFonts w:ascii="Times New Roman" w:cs="Times New Roman" w:eastAsia="Times New Roman" w:hAnsi="Times New Roman"/>
          <w:sz w:val="18"/>
          <w:szCs w:val="18"/>
          <w:color w:val="auto"/>
        </w:rPr>
        <w:t xml:space="preserve">As of September 30, 2026, there was $20.5 million remaining available to make repurchases under the Stock Repurchase Program. </w:t>
      </w:r>
      <w:r>
        <w:rPr>
          <w:rFonts w:ascii="Times New Roman" w:cs="Times New Roman" w:eastAsia="Times New Roman" w:hAnsi="Times New Roman"/>
          <w:sz w:val="18"/>
          <w:szCs w:val="18"/>
          <w:i w:val="1"/>
          <w:iCs w:val="1"/>
          <w:color w:val="auto"/>
        </w:rPr>
        <w:t>Accumulated Other Comprehensive Income (Loss)</w:t>
      </w:r>
    </w:p>
    <w:p>
      <w:pPr>
        <w:spacing w:after="0" w:line="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tables present the changes in each component of Accumulated Other Comprehensive Income (Loss) (“AOCI”) attributable to stockholders, net of immaterial tax effect. During the nine months ended September 30, 2026, there was no AOCI.</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Changes in Components of AOCI - Stockholders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56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(dollars in thousands)</w:t>
            </w:r>
          </w:p>
        </w:tc>
        <w:tc>
          <w:tcPr>
            <w:tcW w:w="1580" w:type="dxa"/>
            <w:vAlign w:val="bottom"/>
            <w:gridSpan w:val="3"/>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Unrealized gain on net</w:t>
            </w:r>
          </w:p>
        </w:tc>
        <w:tc>
          <w:tcPr>
            <w:tcW w:w="160" w:type="dxa"/>
            <w:vAlign w:val="bottom"/>
          </w:tcPr>
          <w:p>
            <w:pPr>
              <w:spacing w:after="0"/>
              <w:rPr>
                <w:sz w:val="13"/>
                <w:szCs w:val="13"/>
                <w:color w:val="auto"/>
              </w:rPr>
            </w:pPr>
          </w:p>
        </w:tc>
        <w:tc>
          <w:tcPr>
            <w:tcW w:w="144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Foreign currency</w:t>
            </w:r>
          </w:p>
        </w:tc>
        <w:tc>
          <w:tcPr>
            <w:tcW w:w="340" w:type="dxa"/>
            <w:vAlign w:val="bottom"/>
          </w:tcPr>
          <w:p>
            <w:pPr>
              <w:spacing w:after="0"/>
              <w:rPr>
                <w:sz w:val="13"/>
                <w:szCs w:val="13"/>
                <w:color w:val="auto"/>
              </w:rPr>
            </w:pPr>
          </w:p>
        </w:tc>
        <w:tc>
          <w:tcPr>
            <w:tcW w:w="1160" w:type="dxa"/>
            <w:vAlign w:val="bottom"/>
            <w:vMerge w:val="restart"/>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5"/>
        </w:trPr>
        <w:tc>
          <w:tcPr>
            <w:tcW w:w="656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14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investment hedges</w:t>
            </w:r>
          </w:p>
        </w:tc>
        <w:tc>
          <w:tcPr>
            <w:tcW w:w="1600" w:type="dxa"/>
            <w:vAlign w:val="bottom"/>
            <w:gridSpan w:val="3"/>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translation gain (loss)</w:t>
            </w:r>
          </w:p>
        </w:tc>
        <w:tc>
          <w:tcPr>
            <w:tcW w:w="340" w:type="dxa"/>
            <w:vAlign w:val="bottom"/>
          </w:tcPr>
          <w:p>
            <w:pPr>
              <w:spacing w:after="0"/>
              <w:rPr>
                <w:sz w:val="16"/>
                <w:szCs w:val="16"/>
                <w:color w:val="auto"/>
              </w:rPr>
            </w:pPr>
          </w:p>
        </w:tc>
        <w:tc>
          <w:tcPr>
            <w:tcW w:w="11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65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AOCI at December 31, 2024</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18,603</w:t>
            </w:r>
          </w:p>
        </w:tc>
        <w:tc>
          <w:tcPr>
            <w:tcW w:w="8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(24,940)</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(6,337)</w:t>
            </w:r>
          </w:p>
        </w:tc>
        <w:tc>
          <w:tcPr>
            <w:tcW w:w="0" w:type="dxa"/>
            <w:vAlign w:val="bottom"/>
          </w:tcPr>
          <w:p>
            <w:pPr>
              <w:spacing w:after="0"/>
              <w:rPr>
                <w:sz w:val="1"/>
                <w:szCs w:val="1"/>
                <w:color w:val="auto"/>
              </w:rPr>
            </w:pPr>
          </w:p>
        </w:tc>
      </w:tr>
      <w:tr>
        <w:trPr>
          <w:trHeight w:val="226"/>
        </w:trPr>
        <w:tc>
          <w:tcPr>
            <w:tcW w:w="65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 comprehensive gain</w:t>
            </w:r>
          </w:p>
        </w:tc>
        <w:tc>
          <w:tcPr>
            <w:tcW w:w="140" w:type="dxa"/>
            <w:vAlign w:val="bottom"/>
          </w:tcPr>
          <w:p>
            <w:pPr>
              <w:spacing w:after="0"/>
              <w:rPr>
                <w:sz w:val="19"/>
                <w:szCs w:val="19"/>
                <w:color w:val="auto"/>
              </w:rPr>
            </w:pPr>
          </w:p>
        </w:tc>
        <w:tc>
          <w:tcPr>
            <w:tcW w:w="14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1,831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1,831</w:t>
            </w:r>
          </w:p>
        </w:tc>
        <w:tc>
          <w:tcPr>
            <w:tcW w:w="0" w:type="dxa"/>
            <w:vAlign w:val="bottom"/>
          </w:tcPr>
          <w:p>
            <w:pPr>
              <w:spacing w:after="0"/>
              <w:rPr>
                <w:sz w:val="1"/>
                <w:szCs w:val="1"/>
                <w:color w:val="auto"/>
              </w:rPr>
            </w:pPr>
          </w:p>
        </w:tc>
      </w:tr>
      <w:tr>
        <w:trPr>
          <w:trHeight w:val="251"/>
        </w:trPr>
        <w:tc>
          <w:tcPr>
            <w:tcW w:w="65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AOCI at March 31, 2025</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18,603</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(23,109)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(4,506)</w:t>
            </w:r>
          </w:p>
        </w:tc>
        <w:tc>
          <w:tcPr>
            <w:tcW w:w="0" w:type="dxa"/>
            <w:vAlign w:val="bottom"/>
          </w:tcPr>
          <w:p>
            <w:pPr>
              <w:spacing w:after="0"/>
              <w:rPr>
                <w:sz w:val="1"/>
                <w:szCs w:val="1"/>
                <w:color w:val="auto"/>
              </w:rPr>
            </w:pPr>
          </w:p>
        </w:tc>
      </w:tr>
      <w:tr>
        <w:trPr>
          <w:trHeight w:val="20"/>
        </w:trPr>
        <w:tc>
          <w:tcPr>
            <w:tcW w:w="65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1"/>
        </w:trPr>
        <w:tc>
          <w:tcPr>
            <w:tcW w:w="65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 comprehensive income before reclassification</w:t>
            </w:r>
          </w:p>
        </w:tc>
        <w:tc>
          <w:tcPr>
            <w:tcW w:w="140" w:type="dxa"/>
            <w:vAlign w:val="bottom"/>
          </w:tcPr>
          <w:p>
            <w:pPr>
              <w:spacing w:after="0"/>
              <w:rPr>
                <w:sz w:val="17"/>
                <w:szCs w:val="17"/>
                <w:color w:val="auto"/>
              </w:rPr>
            </w:pPr>
          </w:p>
        </w:tc>
        <w:tc>
          <w:tcPr>
            <w:tcW w:w="14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1,144</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1,144</w:t>
            </w:r>
          </w:p>
        </w:tc>
        <w:tc>
          <w:tcPr>
            <w:tcW w:w="0" w:type="dxa"/>
            <w:vAlign w:val="bottom"/>
          </w:tcPr>
          <w:p>
            <w:pPr>
              <w:spacing w:after="0"/>
              <w:rPr>
                <w:sz w:val="1"/>
                <w:szCs w:val="1"/>
                <w:color w:val="auto"/>
              </w:rPr>
            </w:pPr>
          </w:p>
        </w:tc>
      </w:tr>
      <w:tr>
        <w:trPr>
          <w:trHeight w:val="229"/>
        </w:trPr>
        <w:tc>
          <w:tcPr>
            <w:tcW w:w="6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Amounts reclassified from AOCI</w:t>
            </w:r>
          </w:p>
        </w:tc>
        <w:tc>
          <w:tcPr>
            <w:tcW w:w="14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(18,603)</w:t>
            </w:r>
          </w:p>
        </w:tc>
        <w:tc>
          <w:tcPr>
            <w:tcW w:w="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21,965</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3,362</w:t>
            </w:r>
          </w:p>
        </w:tc>
        <w:tc>
          <w:tcPr>
            <w:tcW w:w="0" w:type="dxa"/>
            <w:vAlign w:val="bottom"/>
          </w:tcPr>
          <w:p>
            <w:pPr>
              <w:spacing w:after="0"/>
              <w:rPr>
                <w:sz w:val="1"/>
                <w:szCs w:val="1"/>
                <w:color w:val="auto"/>
              </w:rPr>
            </w:pPr>
          </w:p>
        </w:tc>
      </w:tr>
      <w:tr>
        <w:trPr>
          <w:trHeight w:val="223"/>
        </w:trPr>
        <w:tc>
          <w:tcPr>
            <w:tcW w:w="65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Net OCI activity</w:t>
            </w:r>
          </w:p>
        </w:tc>
        <w:tc>
          <w:tcPr>
            <w:tcW w:w="14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(18,603)</w:t>
            </w:r>
          </w:p>
        </w:tc>
        <w:tc>
          <w:tcPr>
            <w:tcW w:w="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23,109</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4,506</w:t>
            </w:r>
          </w:p>
        </w:tc>
        <w:tc>
          <w:tcPr>
            <w:tcW w:w="0" w:type="dxa"/>
            <w:vAlign w:val="bottom"/>
          </w:tcPr>
          <w:p>
            <w:pPr>
              <w:spacing w:after="0"/>
              <w:rPr>
                <w:sz w:val="1"/>
                <w:szCs w:val="1"/>
                <w:color w:val="auto"/>
              </w:rPr>
            </w:pPr>
          </w:p>
        </w:tc>
      </w:tr>
      <w:tr>
        <w:trPr>
          <w:trHeight w:val="246"/>
        </w:trPr>
        <w:tc>
          <w:tcPr>
            <w:tcW w:w="65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AOCI at June 30, 2025</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
        </w:trPr>
        <w:tc>
          <w:tcPr>
            <w:tcW w:w="65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0"/>
        </w:trPr>
        <w:tc>
          <w:tcPr>
            <w:tcW w:w="65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Other comprehensive income</w:t>
            </w:r>
          </w:p>
        </w:tc>
        <w:tc>
          <w:tcPr>
            <w:tcW w:w="14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46"/>
        </w:trPr>
        <w:tc>
          <w:tcPr>
            <w:tcW w:w="6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AOCI at September 30, 2025</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
        </w:trPr>
        <w:tc>
          <w:tcPr>
            <w:tcW w:w="65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BRIGHTSPIRE CAPITAL,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Fair Value</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Fair Value Option</w:t>
      </w:r>
    </w:p>
    <w:p>
      <w:pPr>
        <w:spacing w:after="0" w:line="16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may elect to apply the fair value option of accounting for certain of its financial assets or liabilities due to the nature of the instrument at the time of the initial recognition of the investment. As of September 30, 2026, the Company has elected not to apply the fair value option for any other eligible financial assets or liabilities.</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Fair Value of Financial Instruments</w:t>
      </w:r>
    </w:p>
    <w:p>
      <w:pPr>
        <w:spacing w:after="0" w:line="14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addition to the above disclosures regarding financial assets or liabilities which are recorded at fair value, GAAP requires disclosure of fair value about all financial instruments. The following disclosure of estimated fair value of financial instruments was determined by the Company using available market information and appropriate valuation methodologies. Considerable judgment is necessary to interpret market data and develop estimated fair value. Accordingly, the estimates presented herein are not necessarily indicative of the amounts the Company could realize on disposition of the financial instruments. The use of different market assumptions and/or estimation methodologies may have a material effect on estimated fair value.</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the principal amount, carrying value and fair value of certain financial assets and liabilities as of September 30, 2026 and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2025 (dollars in thousands):</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38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gridSpan w:val="5"/>
          </w:tcPr>
          <w:p>
            <w:pPr>
              <w:spacing w:after="0"/>
              <w:rPr>
                <w:sz w:val="20"/>
                <w:szCs w:val="20"/>
                <w:color w:val="auto"/>
              </w:rPr>
            </w:pPr>
            <w:r>
              <w:rPr>
                <w:rFonts w:ascii="Times New Roman" w:cs="Times New Roman" w:eastAsia="Times New Roman" w:hAnsi="Times New Roman"/>
                <w:sz w:val="16"/>
                <w:szCs w:val="16"/>
                <w:b w:val="1"/>
                <w:bCs w:val="1"/>
                <w:color w:val="auto"/>
              </w:rPr>
              <w:t>September 30, 2026</w:t>
            </w:r>
          </w:p>
        </w:tc>
        <w:tc>
          <w:tcPr>
            <w:tcW w:w="1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gridSpan w:val="4"/>
          </w:tcPr>
          <w:p>
            <w:pPr>
              <w:spacing w:after="0"/>
              <w:rPr>
                <w:sz w:val="20"/>
                <w:szCs w:val="20"/>
                <w:color w:val="auto"/>
              </w:rPr>
            </w:pPr>
            <w:r>
              <w:rPr>
                <w:rFonts w:ascii="Times New Roman" w:cs="Times New Roman" w:eastAsia="Times New Roman" w:hAnsi="Times New Roman"/>
                <w:sz w:val="16"/>
                <w:szCs w:val="16"/>
                <w:b w:val="1"/>
                <w:bCs w:val="1"/>
                <w:color w:val="auto"/>
              </w:rPr>
              <w:t>December 31, 2025</w:t>
            </w:r>
          </w:p>
        </w:tc>
        <w:tc>
          <w:tcPr>
            <w:tcW w:w="1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72"/>
        </w:trPr>
        <w:tc>
          <w:tcPr>
            <w:tcW w:w="38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jc w:val="right"/>
              <w:ind w:right="139"/>
              <w:spacing w:after="0" w:line="172" w:lineRule="exact"/>
              <w:rPr>
                <w:sz w:val="20"/>
                <w:szCs w:val="20"/>
                <w:color w:val="auto"/>
              </w:rPr>
            </w:pPr>
            <w:r>
              <w:rPr>
                <w:rFonts w:ascii="Times New Roman" w:cs="Times New Roman" w:eastAsia="Times New Roman" w:hAnsi="Times New Roman"/>
                <w:sz w:val="16"/>
                <w:szCs w:val="16"/>
                <w:b w:val="1"/>
                <w:bCs w:val="1"/>
                <w:color w:val="auto"/>
              </w:rPr>
              <w:t>Principal</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gridSpan w:val="3"/>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Carrying Value</w:t>
            </w:r>
          </w:p>
        </w:tc>
        <w:tc>
          <w:tcPr>
            <w:tcW w:w="160" w:type="dxa"/>
            <w:vAlign w:val="bottom"/>
          </w:tcPr>
          <w:p>
            <w:pPr>
              <w:spacing w:after="0"/>
              <w:rPr>
                <w:sz w:val="14"/>
                <w:szCs w:val="14"/>
                <w:color w:val="auto"/>
              </w:rPr>
            </w:pPr>
          </w:p>
        </w:tc>
        <w:tc>
          <w:tcPr>
            <w:tcW w:w="1040" w:type="dxa"/>
            <w:vAlign w:val="bottom"/>
            <w:gridSpan w:val="2"/>
            <w:vMerge w:val="restart"/>
          </w:tcPr>
          <w:p>
            <w:pPr>
              <w:ind w:left="40"/>
              <w:spacing w:after="0"/>
              <w:rPr>
                <w:sz w:val="20"/>
                <w:szCs w:val="20"/>
                <w:color w:val="auto"/>
              </w:rPr>
            </w:pPr>
            <w:r>
              <w:rPr>
                <w:rFonts w:ascii="Times New Roman" w:cs="Times New Roman" w:eastAsia="Times New Roman" w:hAnsi="Times New Roman"/>
                <w:sz w:val="16"/>
                <w:szCs w:val="16"/>
                <w:b w:val="1"/>
                <w:bCs w:val="1"/>
                <w:color w:val="auto"/>
              </w:rPr>
              <w:t>Fair Value</w:t>
            </w:r>
          </w:p>
        </w:tc>
        <w:tc>
          <w:tcPr>
            <w:tcW w:w="200" w:type="dxa"/>
            <w:vAlign w:val="bottom"/>
          </w:tcPr>
          <w:p>
            <w:pPr>
              <w:spacing w:after="0"/>
              <w:rPr>
                <w:sz w:val="14"/>
                <w:szCs w:val="14"/>
                <w:color w:val="auto"/>
              </w:rPr>
            </w:pPr>
          </w:p>
        </w:tc>
        <w:tc>
          <w:tcPr>
            <w:tcW w:w="980" w:type="dxa"/>
            <w:vAlign w:val="bottom"/>
          </w:tcPr>
          <w:p>
            <w:pPr>
              <w:jc w:val="right"/>
              <w:ind w:right="179"/>
              <w:spacing w:after="0" w:line="172" w:lineRule="exact"/>
              <w:rPr>
                <w:sz w:val="20"/>
                <w:szCs w:val="20"/>
                <w:color w:val="auto"/>
              </w:rPr>
            </w:pPr>
            <w:r>
              <w:rPr>
                <w:rFonts w:ascii="Times New Roman" w:cs="Times New Roman" w:eastAsia="Times New Roman" w:hAnsi="Times New Roman"/>
                <w:sz w:val="16"/>
                <w:szCs w:val="16"/>
                <w:b w:val="1"/>
                <w:bCs w:val="1"/>
                <w:color w:val="auto"/>
              </w:rPr>
              <w:t>Principal</w:t>
            </w:r>
          </w:p>
        </w:tc>
        <w:tc>
          <w:tcPr>
            <w:tcW w:w="100" w:type="dxa"/>
            <w:vAlign w:val="bottom"/>
          </w:tcPr>
          <w:p>
            <w:pPr>
              <w:spacing w:after="0"/>
              <w:rPr>
                <w:sz w:val="14"/>
                <w:szCs w:val="14"/>
                <w:color w:val="auto"/>
              </w:rPr>
            </w:pPr>
          </w:p>
        </w:tc>
        <w:tc>
          <w:tcPr>
            <w:tcW w:w="1220" w:type="dxa"/>
            <w:vAlign w:val="bottom"/>
            <w:gridSpan w:val="3"/>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Carrying Value</w:t>
            </w:r>
          </w:p>
        </w:tc>
        <w:tc>
          <w:tcPr>
            <w:tcW w:w="160" w:type="dxa"/>
            <w:vAlign w:val="bottom"/>
          </w:tcPr>
          <w:p>
            <w:pPr>
              <w:spacing w:after="0"/>
              <w:rPr>
                <w:sz w:val="14"/>
                <w:szCs w:val="14"/>
                <w:color w:val="auto"/>
              </w:rPr>
            </w:pPr>
          </w:p>
        </w:tc>
        <w:tc>
          <w:tcPr>
            <w:tcW w:w="1020" w:type="dxa"/>
            <w:vAlign w:val="bottom"/>
            <w:vMerge w:val="restart"/>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Fair Value</w:t>
            </w:r>
          </w:p>
        </w:tc>
        <w:tc>
          <w:tcPr>
            <w:tcW w:w="0" w:type="dxa"/>
            <w:vAlign w:val="bottom"/>
          </w:tcPr>
          <w:p>
            <w:pPr>
              <w:spacing w:after="0"/>
              <w:rPr>
                <w:sz w:val="1"/>
                <w:szCs w:val="1"/>
                <w:color w:val="auto"/>
              </w:rPr>
            </w:pPr>
          </w:p>
        </w:tc>
      </w:tr>
      <w:tr>
        <w:trPr>
          <w:trHeight w:val="214"/>
        </w:trPr>
        <w:tc>
          <w:tcPr>
            <w:tcW w:w="3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3"/>
            <w:vMerge w:val="continue"/>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gridSpan w:val="2"/>
            <w:vMerge w:val="continue"/>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100" w:type="dxa"/>
            <w:vAlign w:val="bottom"/>
          </w:tcPr>
          <w:p>
            <w:pPr>
              <w:spacing w:after="0"/>
              <w:rPr>
                <w:sz w:val="18"/>
                <w:szCs w:val="18"/>
                <w:color w:val="auto"/>
              </w:rPr>
            </w:pPr>
          </w:p>
        </w:tc>
        <w:tc>
          <w:tcPr>
            <w:tcW w:w="1220" w:type="dxa"/>
            <w:vAlign w:val="bottom"/>
            <w:gridSpan w:val="3"/>
            <w:vMerge w:val="continue"/>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3880" w:type="dxa"/>
            <w:vAlign w:val="bottom"/>
            <w:tcBorders>
              <w:top w:val="single" w:sz="8" w:color="CCEEFF"/>
            </w:tcBorders>
            <w:shd w:val="clear" w:color="auto" w:fill="CCEEFF"/>
          </w:tcPr>
          <w:p>
            <w:pPr>
              <w:ind w:left="20"/>
              <w:spacing w:after="0" w:line="212" w:lineRule="exact"/>
              <w:rPr>
                <w:sz w:val="20"/>
                <w:szCs w:val="20"/>
                <w:color w:val="auto"/>
              </w:rPr>
            </w:pPr>
            <w:r>
              <w:rPr>
                <w:rFonts w:ascii="Times New Roman" w:cs="Times New Roman" w:eastAsia="Times New Roman" w:hAnsi="Times New Roman"/>
                <w:sz w:val="16"/>
                <w:szCs w:val="16"/>
                <w:color w:val="auto"/>
              </w:rPr>
              <w:t>Financial assets:</w:t>
            </w:r>
            <w:r>
              <w:rPr>
                <w:rFonts w:ascii="Times New Roman" w:cs="Times New Roman" w:eastAsia="Times New Roman" w:hAnsi="Times New Roman"/>
                <w:sz w:val="21"/>
                <w:szCs w:val="21"/>
                <w:color w:val="auto"/>
                <w:vertAlign w:val="superscript"/>
              </w:rPr>
              <w:t>(1)</w:t>
            </w:r>
          </w:p>
        </w:tc>
        <w:tc>
          <w:tcPr>
            <w:tcW w:w="18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3880" w:type="dxa"/>
            <w:vAlign w:val="bottom"/>
          </w:tcPr>
          <w:p>
            <w:pPr>
              <w:ind w:left="20"/>
              <w:spacing w:after="0" w:line="230" w:lineRule="exact"/>
              <w:rPr>
                <w:sz w:val="20"/>
                <w:szCs w:val="20"/>
                <w:color w:val="auto"/>
              </w:rPr>
            </w:pPr>
            <w:r>
              <w:rPr>
                <w:rFonts w:ascii="Times New Roman" w:cs="Times New Roman" w:eastAsia="Times New Roman" w:hAnsi="Times New Roman"/>
                <w:sz w:val="16"/>
                <w:szCs w:val="16"/>
                <w:color w:val="auto"/>
              </w:rPr>
              <w:t>Loans and preferred equity held for investment, net</w:t>
            </w:r>
            <w:r>
              <w:rPr>
                <w:rFonts w:ascii="Times New Roman" w:cs="Times New Roman" w:eastAsia="Times New Roman" w:hAnsi="Times New Roman"/>
                <w:sz w:val="21"/>
                <w:szCs w:val="21"/>
                <w:color w:val="auto"/>
                <w:vertAlign w:val="superscript"/>
              </w:rPr>
              <w:t>(2)(3)</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3,089,431</w:t>
            </w:r>
          </w:p>
        </w:tc>
        <w:tc>
          <w:tcPr>
            <w:tcW w:w="400" w:type="dxa"/>
            <w:vAlign w:val="bottom"/>
            <w:gridSpan w:val="3"/>
          </w:tcPr>
          <w:p>
            <w:pPr>
              <w:ind w:left="16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3,082,324</w:t>
            </w:r>
          </w:p>
        </w:tc>
        <w:tc>
          <w:tcPr>
            <w:tcW w:w="8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2,741,020</w:t>
            </w:r>
          </w:p>
        </w:tc>
        <w:tc>
          <w:tcPr>
            <w:tcW w:w="80" w:type="dxa"/>
            <w:vAlign w:val="bottom"/>
          </w:tcPr>
          <w:p>
            <w:pPr>
              <w:spacing w:after="0"/>
              <w:rPr>
                <w:sz w:val="19"/>
                <w:szCs w:val="19"/>
                <w:color w:val="auto"/>
              </w:rPr>
            </w:pP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2,679,909</w:t>
            </w:r>
          </w:p>
        </w:tc>
        <w:tc>
          <w:tcPr>
            <w:tcW w:w="36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2,678,315</w:t>
            </w:r>
          </w:p>
        </w:tc>
        <w:tc>
          <w:tcPr>
            <w:tcW w:w="8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2,657,083</w:t>
            </w:r>
          </w:p>
        </w:tc>
        <w:tc>
          <w:tcPr>
            <w:tcW w:w="0" w:type="dxa"/>
            <w:vAlign w:val="bottom"/>
          </w:tcPr>
          <w:p>
            <w:pPr>
              <w:spacing w:after="0"/>
              <w:rPr>
                <w:sz w:val="1"/>
                <w:szCs w:val="1"/>
                <w:color w:val="auto"/>
              </w:rPr>
            </w:pPr>
          </w:p>
        </w:tc>
      </w:tr>
      <w:tr>
        <w:trPr>
          <w:trHeight w:val="230"/>
        </w:trPr>
        <w:tc>
          <w:tcPr>
            <w:tcW w:w="388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6"/>
                <w:szCs w:val="16"/>
                <w:color w:val="auto"/>
              </w:rPr>
              <w:t>Financial liabilities:</w:t>
            </w:r>
            <w:r>
              <w:rPr>
                <w:rFonts w:ascii="Times New Roman" w:cs="Times New Roman" w:eastAsia="Times New Roman" w:hAnsi="Times New Roman"/>
                <w:sz w:val="21"/>
                <w:szCs w:val="21"/>
                <w:color w:val="auto"/>
                <w:vertAlign w:val="superscript"/>
              </w:rPr>
              <w:t>(1)</w:t>
            </w: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38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Securitization bonds payable, net</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1,371,022</w:t>
            </w:r>
          </w:p>
        </w:tc>
        <w:tc>
          <w:tcPr>
            <w:tcW w:w="400" w:type="dxa"/>
            <w:vAlign w:val="bottom"/>
            <w:gridSpan w:val="3"/>
          </w:tcPr>
          <w:p>
            <w:pPr>
              <w:ind w:left="16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1,362,731</w:t>
            </w:r>
          </w:p>
        </w:tc>
        <w:tc>
          <w:tcPr>
            <w:tcW w:w="8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1,371,022</w:t>
            </w:r>
          </w:p>
        </w:tc>
        <w:tc>
          <w:tcPr>
            <w:tcW w:w="80" w:type="dxa"/>
            <w:vAlign w:val="bottom"/>
          </w:tcPr>
          <w:p>
            <w:pPr>
              <w:spacing w:after="0"/>
              <w:rPr>
                <w:sz w:val="19"/>
                <w:szCs w:val="19"/>
                <w:color w:val="auto"/>
              </w:rPr>
            </w:pP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982,090</w:t>
            </w:r>
          </w:p>
        </w:tc>
        <w:tc>
          <w:tcPr>
            <w:tcW w:w="36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977,082</w:t>
            </w:r>
          </w:p>
        </w:tc>
        <w:tc>
          <w:tcPr>
            <w:tcW w:w="8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982,090</w:t>
            </w:r>
          </w:p>
        </w:tc>
        <w:tc>
          <w:tcPr>
            <w:tcW w:w="0" w:type="dxa"/>
            <w:vAlign w:val="bottom"/>
          </w:tcPr>
          <w:p>
            <w:pPr>
              <w:spacing w:after="0"/>
              <w:rPr>
                <w:sz w:val="1"/>
                <w:szCs w:val="1"/>
                <w:color w:val="auto"/>
              </w:rPr>
            </w:pPr>
          </w:p>
        </w:tc>
      </w:tr>
      <w:tr>
        <w:trPr>
          <w:trHeight w:val="233"/>
        </w:trPr>
        <w:tc>
          <w:tcPr>
            <w:tcW w:w="3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Mortgage and other notes payable, net</w:t>
            </w:r>
          </w:p>
        </w:tc>
        <w:tc>
          <w:tcPr>
            <w:tcW w:w="18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212,207</w:t>
            </w:r>
          </w:p>
        </w:tc>
        <w:tc>
          <w:tcPr>
            <w:tcW w:w="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210,988</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206,061</w:t>
            </w: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416,302</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414,060</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394,819</w:t>
            </w:r>
          </w:p>
        </w:tc>
        <w:tc>
          <w:tcPr>
            <w:tcW w:w="0" w:type="dxa"/>
            <w:vAlign w:val="bottom"/>
          </w:tcPr>
          <w:p>
            <w:pPr>
              <w:spacing w:after="0"/>
              <w:rPr>
                <w:sz w:val="1"/>
                <w:szCs w:val="1"/>
                <w:color w:val="auto"/>
              </w:rPr>
            </w:pPr>
          </w:p>
        </w:tc>
      </w:tr>
      <w:tr>
        <w:trPr>
          <w:trHeight w:val="223"/>
        </w:trPr>
        <w:tc>
          <w:tcPr>
            <w:tcW w:w="38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Credit facilities</w:t>
            </w: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1,059,853</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1,059,853</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1,059,853</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1,078,098</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1,078,098</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1,078,098</w:t>
            </w:r>
          </w:p>
        </w:tc>
        <w:tc>
          <w:tcPr>
            <w:tcW w:w="0" w:type="dxa"/>
            <w:vAlign w:val="bottom"/>
          </w:tcPr>
          <w:p>
            <w:pPr>
              <w:spacing w:after="0"/>
              <w:rPr>
                <w:sz w:val="1"/>
                <w:szCs w:val="1"/>
                <w:color w:val="auto"/>
              </w:rPr>
            </w:pPr>
          </w:p>
        </w:tc>
      </w:tr>
    </w:tbl>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_________________________________________</w:t>
      </w:r>
    </w:p>
    <w:p>
      <w:pPr>
        <w:spacing w:after="0" w:line="27" w:lineRule="exact"/>
        <w:rPr>
          <w:sz w:val="20"/>
          <w:szCs w:val="20"/>
          <w:color w:val="auto"/>
        </w:rPr>
      </w:pPr>
    </w:p>
    <w:p>
      <w:pPr>
        <w:ind w:left="320" w:hanging="312"/>
        <w:spacing w:after="0"/>
        <w:tabs>
          <w:tab w:leader="none" w:pos="32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fair value of other financial instruments not included in this table is estimated to approximate their carrying value.</w:t>
      </w:r>
    </w:p>
    <w:p>
      <w:pPr>
        <w:spacing w:after="0" w:line="14" w:lineRule="exact"/>
        <w:rPr>
          <w:rFonts w:ascii="Times New Roman" w:cs="Times New Roman" w:eastAsia="Times New Roman" w:hAnsi="Times New Roman"/>
          <w:sz w:val="14"/>
          <w:szCs w:val="14"/>
          <w:color w:val="auto"/>
        </w:rPr>
      </w:pPr>
    </w:p>
    <w:p>
      <w:pPr>
        <w:ind w:left="320" w:hanging="312"/>
        <w:spacing w:after="0"/>
        <w:tabs>
          <w:tab w:leader="none" w:pos="32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Excludes future funding commitments of $145.2 million and $112.2 million as of September 30, 2026 and December 31, 2025, respectively.</w:t>
      </w:r>
    </w:p>
    <w:p>
      <w:pPr>
        <w:spacing w:after="0" w:line="14" w:lineRule="exact"/>
        <w:rPr>
          <w:rFonts w:ascii="Times New Roman" w:cs="Times New Roman" w:eastAsia="Times New Roman" w:hAnsi="Times New Roman"/>
          <w:sz w:val="14"/>
          <w:szCs w:val="14"/>
          <w:color w:val="auto"/>
        </w:rPr>
      </w:pPr>
    </w:p>
    <w:p>
      <w:pPr>
        <w:ind w:left="320" w:hanging="312"/>
        <w:spacing w:after="0"/>
        <w:tabs>
          <w:tab w:leader="none" w:pos="32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Carry value excludes CECL reserves of $106.3 million and $87.4 million as of September 30, 2026 and December 31, 2025, respectively.</w:t>
      </w:r>
    </w:p>
    <w:p>
      <w:pPr>
        <w:spacing w:after="0" w:line="14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Disclosure about fair value of financial instruments is based on pertinent information available to management as of September 30, 2026. Although management is not aware of any factors that would significantly affect fair value, such amounts have not been comprehensively revalued for purposes of these consolidated financial statements since that date and current estimates of fair value may differ significantly from the amounts presented herein.</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Loans and Preferred Equity Held for Investment, Net</w:t>
      </w:r>
    </w:p>
    <w:p>
      <w:pPr>
        <w:spacing w:after="0" w:line="14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For loans and preferred equity held for investment, net, fair values were determined: (i) primarily by using rates currently available with similar terms and remaining maturities to estimate fair value. These measurements are determined using comparable U.S. Treasury rates as of the end of the reporting period; or (ii) in some cases, based on discounted cash flow projections or similar analysis of principal and interest expected to be collected, which includes consideration of the financial standing of the borrower or sponsor as well as operating results of the underlying collateral. Since some fair value measurements are based on unobservable inputs, they are classified as Level 3 of the fair value hierarchy.</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Securitization Bonds Payable, Net</w:t>
      </w:r>
    </w:p>
    <w:p>
      <w:pPr>
        <w:spacing w:after="0" w:line="15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Company’s securitization bonds payable, net bear floating rates of interest. As of September 30, 2026, the Company believes the unpaid principal balance approximates fair value given the floating rate nature of the bonds and significant level of subordination within the securitization. These fair value measurements are based on observable inputs, and as such, are classified as Level 2 of the fair value hierarchy.</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Mortgage and Other Notes Payable, Net</w:t>
      </w:r>
    </w:p>
    <w:p>
      <w:pPr>
        <w:spacing w:after="0" w:line="15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For mortgage and other notes payable, net, the Company primarily uses rates currently available with similar terms and remaining maturities to estimate fair value. These measurements are determined using comparable U.S. Treasury rates as of the</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BRIGHTSPIRE CAPITAL,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90" w:lineRule="exact"/>
        <w:rPr>
          <w:sz w:val="20"/>
          <w:szCs w:val="20"/>
          <w:color w:val="auto"/>
        </w:rPr>
      </w:pPr>
    </w:p>
    <w:p>
      <w:pPr>
        <w:spacing w:after="0" w:line="414" w:lineRule="auto"/>
        <w:rPr>
          <w:sz w:val="20"/>
          <w:szCs w:val="20"/>
          <w:color w:val="auto"/>
        </w:rPr>
      </w:pPr>
      <w:r>
        <w:rPr>
          <w:rFonts w:ascii="Times New Roman" w:cs="Times New Roman" w:eastAsia="Times New Roman" w:hAnsi="Times New Roman"/>
          <w:sz w:val="18"/>
          <w:szCs w:val="18"/>
          <w:color w:val="auto"/>
        </w:rPr>
        <w:t xml:space="preserve">end of the reporting period. These fair value measurements are based on observable inputs, and as such, are classified as Level 2 of the fair value hierarchy. </w:t>
      </w:r>
      <w:r>
        <w:rPr>
          <w:rFonts w:ascii="Times New Roman" w:cs="Times New Roman" w:eastAsia="Times New Roman" w:hAnsi="Times New Roman"/>
          <w:sz w:val="18"/>
          <w:szCs w:val="18"/>
          <w:u w:val="single" w:color="auto"/>
          <w:color w:val="auto"/>
        </w:rPr>
        <w:t>Master Repurchase Facilities</w:t>
      </w:r>
    </w:p>
    <w:p>
      <w:pPr>
        <w:spacing w:after="0" w:line="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has amounts outstanding under Master Repurchase Facilities. The Master Repurchase Facilities bear floating rates of interest. As of September 30, 2026, the Company believes the carrying value approximates fair value due to the short-term nature of the debt, and as a result, contractual rates should equate to market rates. These fair value measurements are based on observable inputs, and as such, are classified as Level 2 of the fair value hierarchy.</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Other</w:t>
      </w:r>
    </w:p>
    <w:p>
      <w:pPr>
        <w:spacing w:after="0" w:line="14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carrying values of cash and cash equivalents, restricted cash, receivables, and accrued and other liabilities approximate fair value due to their short term nature and credit risks, if any, are negligible.</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Nonrecurring Fair Values</w:t>
      </w:r>
    </w:p>
    <w:p>
      <w:pPr>
        <w:spacing w:after="0" w:line="16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measures fair value of certain assets on a nonrecurring basis when events or changes in circumstances indicate that the carrying value of the assets may not be recoverable. Adjustments to fair value generally result from the application of lower of amortized cost or fair value accounting for assets held for sale or write-down of asset values due to impairment.</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CECL</w:t>
      </w:r>
    </w:p>
    <w:p>
      <w:pPr>
        <w:spacing w:after="0" w:line="15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the nine months ended September 30, 2026, the Company recorded specific CECL reserves of $11.1 million related to three multifamily loans, two office loans and one industrial loan. The specific CECL reserves were also charged off during the nine months ended September 30, 2026 following resolution of the loans.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Impairment of Operating Real Estate</w:t>
      </w:r>
    </w:p>
    <w:p>
      <w:pPr>
        <w:spacing w:after="0" w:line="14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During the nine months ended September 30, 2026, the Company recorded $15.3 million of impairment related to three retail properties and two multifamily properties. Refer to Note 4, “Real Estate, net” for further discussion.</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Commitments and Contingencies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Lending Commitments</w:t>
      </w:r>
    </w:p>
    <w:p>
      <w:pPr>
        <w:spacing w:after="0" w:line="14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has lending commitments to borrowers pursuant to certain loan agreements in which the borrower may submit a request for funding contingent on achieving certain criteria, which must be approved by the Company as lender, such as leasing, performance of capital expenditures and construction in progress with an approved budget. At September 30, 2026, assuming the terms to qualify for future fundings, if any, had been met, total unfunded lending commitments for loans and preferred equity held for investment were $135.7 million for senior loans, $1.7 million for mezzanine loans and $7.8 million for preferred equity. At December 31, 2025, total unfunded lending commitments for loans held for investment were $101.9 million for senior loans, $2.1 million for mezzanine loans and $8.2 million for preferred equity.</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Ground Lease Obligation</w:t>
      </w:r>
    </w:p>
    <w:p>
      <w:pPr>
        <w:spacing w:after="0" w:line="16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connection with real estate acquisitions, the Company assumed certain non-cancellable operating ground leases as lessee or sublessee with expiration dates through 2050. Rent on certain ground leases are paid directly by tenants.</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 September 30, 2026 and December 31, 2025, the weighted average remaining lease term was 4.6 years and 11.8 years for ground leases, respectively.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ground lease expense, included in property operating expense, for the three and nine months ended September 30, 2026 and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2025 (dollars in thousands):</w:t>
      </w:r>
    </w:p>
    <w:p>
      <w:pPr>
        <w:spacing w:after="0" w:line="10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760" w:type="dxa"/>
            <w:vAlign w:val="bottom"/>
          </w:tcPr>
          <w:p>
            <w:pPr>
              <w:spacing w:after="0"/>
              <w:rPr>
                <w:sz w:val="18"/>
                <w:szCs w:val="18"/>
                <w:color w:val="auto"/>
              </w:rPr>
            </w:pPr>
          </w:p>
        </w:tc>
        <w:tc>
          <w:tcPr>
            <w:tcW w:w="288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6"/>
                <w:szCs w:val="16"/>
                <w:b w:val="1"/>
                <w:bCs w:val="1"/>
                <w:color w:val="auto"/>
              </w:rPr>
              <w:t>Three Months Ended September 30,</w:t>
            </w:r>
          </w:p>
        </w:tc>
        <w:tc>
          <w:tcPr>
            <w:tcW w:w="3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180" w:type="dxa"/>
            <w:vAlign w:val="bottom"/>
            <w:tcBorders>
              <w:bottom w:val="single" w:sz="8" w:color="auto"/>
            </w:tcBorders>
            <w:gridSpan w:val="5"/>
          </w:tcPr>
          <w:p>
            <w:pPr>
              <w:jc w:val="right"/>
              <w:ind w:right="297"/>
              <w:spacing w:after="0"/>
              <w:rPr>
                <w:sz w:val="20"/>
                <w:szCs w:val="20"/>
                <w:color w:val="auto"/>
              </w:rPr>
            </w:pPr>
            <w:r>
              <w:rPr>
                <w:rFonts w:ascii="Times New Roman" w:cs="Times New Roman" w:eastAsia="Times New Roman" w:hAnsi="Times New Roman"/>
                <w:sz w:val="16"/>
                <w:szCs w:val="16"/>
                <w:b w:val="1"/>
                <w:bCs w:val="1"/>
                <w:color w:val="auto"/>
              </w:rPr>
              <w:t>Nine Months Ended September 30,</w:t>
            </w:r>
          </w:p>
        </w:tc>
      </w:tr>
      <w:tr>
        <w:trPr>
          <w:trHeight w:val="223"/>
        </w:trPr>
        <w:tc>
          <w:tcPr>
            <w:tcW w:w="4760" w:type="dxa"/>
            <w:vAlign w:val="bottom"/>
            <w:tcBorders>
              <w:bottom w:val="single" w:sz="8" w:color="CCEEFF"/>
            </w:tcBorders>
          </w:tcPr>
          <w:p>
            <w:pPr>
              <w:spacing w:after="0"/>
              <w:rPr>
                <w:sz w:val="19"/>
                <w:szCs w:val="19"/>
                <w:color w:val="auto"/>
              </w:rPr>
            </w:pPr>
          </w:p>
        </w:tc>
        <w:tc>
          <w:tcPr>
            <w:tcW w:w="110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2026</w:t>
            </w:r>
          </w:p>
        </w:tc>
        <w:tc>
          <w:tcPr>
            <w:tcW w:w="46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240" w:type="dxa"/>
            <w:vAlign w:val="bottom"/>
            <w:tcBorders>
              <w:bottom w:val="single" w:sz="8" w:color="auto"/>
            </w:tcBorders>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2025</w:t>
            </w:r>
          </w:p>
        </w:tc>
        <w:tc>
          <w:tcPr>
            <w:tcW w:w="3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2026</w:t>
            </w:r>
          </w:p>
        </w:tc>
        <w:tc>
          <w:tcPr>
            <w:tcW w:w="5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517"/>
              <w:spacing w:after="0"/>
              <w:rPr>
                <w:sz w:val="20"/>
                <w:szCs w:val="20"/>
                <w:color w:val="auto"/>
              </w:rPr>
            </w:pPr>
            <w:r>
              <w:rPr>
                <w:rFonts w:ascii="Times New Roman" w:cs="Times New Roman" w:eastAsia="Times New Roman" w:hAnsi="Times New Roman"/>
                <w:sz w:val="16"/>
                <w:szCs w:val="16"/>
                <w:b w:val="1"/>
                <w:bCs w:val="1"/>
                <w:color w:val="auto"/>
              </w:rPr>
              <w:t>2025</w:t>
            </w:r>
          </w:p>
        </w:tc>
      </w:tr>
      <w:tr>
        <w:trPr>
          <w:trHeight w:val="213"/>
        </w:trPr>
        <w:tc>
          <w:tcPr>
            <w:tcW w:w="4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Operating lease expense:</w:t>
            </w:r>
          </w:p>
        </w:tc>
        <w:tc>
          <w:tcPr>
            <w:tcW w:w="1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r>
      <w:tr>
        <w:trPr>
          <w:trHeight w:val="227"/>
        </w:trPr>
        <w:tc>
          <w:tcPr>
            <w:tcW w:w="47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Minimum lease expense</w:t>
            </w:r>
          </w:p>
        </w:tc>
        <w:tc>
          <w:tcPr>
            <w:tcW w:w="1100" w:type="dxa"/>
            <w:vAlign w:val="bottom"/>
          </w:tcPr>
          <w:p>
            <w:pPr>
              <w:jc w:val="right"/>
              <w:ind w:right="919"/>
              <w:spacing w:after="0"/>
              <w:rPr>
                <w:sz w:val="20"/>
                <w:szCs w:val="20"/>
                <w:color w:val="auto"/>
              </w:rPr>
            </w:pPr>
            <w:r>
              <w:rPr>
                <w:rFonts w:ascii="Times New Roman" w:cs="Times New Roman" w:eastAsia="Times New Roman" w:hAnsi="Times New Roman"/>
                <w:sz w:val="16"/>
                <w:szCs w:val="16"/>
                <w:color w:val="auto"/>
                <w:w w:val="99"/>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604</w:t>
            </w:r>
          </w:p>
        </w:tc>
        <w:tc>
          <w:tcPr>
            <w:tcW w:w="80" w:type="dxa"/>
            <w:vAlign w:val="bottom"/>
          </w:tcPr>
          <w:p>
            <w:pPr>
              <w:spacing w:after="0"/>
              <w:rPr>
                <w:sz w:val="19"/>
                <w:szCs w:val="19"/>
                <w:color w:val="auto"/>
              </w:rPr>
            </w:pPr>
          </w:p>
        </w:tc>
        <w:tc>
          <w:tcPr>
            <w:tcW w:w="1240" w:type="dxa"/>
            <w:vAlign w:val="bottom"/>
          </w:tcPr>
          <w:p>
            <w:pPr>
              <w:jc w:val="right"/>
              <w:ind w:right="1059"/>
              <w:spacing w:after="0"/>
              <w:rPr>
                <w:sz w:val="20"/>
                <w:szCs w:val="20"/>
                <w:color w:val="auto"/>
              </w:rPr>
            </w:pPr>
            <w:r>
              <w:rPr>
                <w:rFonts w:ascii="Times New Roman" w:cs="Times New Roman" w:eastAsia="Times New Roman" w:hAnsi="Times New Roman"/>
                <w:sz w:val="16"/>
                <w:szCs w:val="16"/>
                <w:color w:val="auto"/>
                <w:w w:val="99"/>
              </w:rPr>
              <w:t>$</w:t>
            </w:r>
          </w:p>
        </w:tc>
        <w:tc>
          <w:tcPr>
            <w:tcW w:w="3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797</w:t>
            </w:r>
          </w:p>
        </w:tc>
        <w:tc>
          <w:tcPr>
            <w:tcW w:w="100" w:type="dxa"/>
            <w:vAlign w:val="bottom"/>
          </w:tcPr>
          <w:p>
            <w:pPr>
              <w:spacing w:after="0"/>
              <w:rPr>
                <w:sz w:val="19"/>
                <w:szCs w:val="19"/>
                <w:color w:val="auto"/>
              </w:rPr>
            </w:pPr>
          </w:p>
        </w:tc>
        <w:tc>
          <w:tcPr>
            <w:tcW w:w="1020" w:type="dxa"/>
            <w:vAlign w:val="bottom"/>
          </w:tcPr>
          <w:p>
            <w:pPr>
              <w:jc w:val="right"/>
              <w:ind w:right="839"/>
              <w:spacing w:after="0"/>
              <w:rPr>
                <w:sz w:val="20"/>
                <w:szCs w:val="20"/>
                <w:color w:val="auto"/>
              </w:rPr>
            </w:pPr>
            <w:r>
              <w:rPr>
                <w:rFonts w:ascii="Times New Roman" w:cs="Times New Roman" w:eastAsia="Times New Roman" w:hAnsi="Times New Roman"/>
                <w:sz w:val="16"/>
                <w:szCs w:val="16"/>
                <w:color w:val="auto"/>
                <w:w w:val="99"/>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2,123</w:t>
            </w:r>
          </w:p>
        </w:tc>
        <w:tc>
          <w:tcPr>
            <w:tcW w:w="100" w:type="dxa"/>
            <w:vAlign w:val="bottom"/>
          </w:tcPr>
          <w:p>
            <w:pPr>
              <w:spacing w:after="0"/>
              <w:rPr>
                <w:sz w:val="19"/>
                <w:szCs w:val="19"/>
                <w:color w:val="auto"/>
              </w:rPr>
            </w:pPr>
          </w:p>
        </w:tc>
        <w:tc>
          <w:tcPr>
            <w:tcW w:w="36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2,395</w:t>
            </w:r>
          </w:p>
        </w:tc>
      </w:tr>
      <w:tr>
        <w:trPr>
          <w:trHeight w:val="246"/>
        </w:trPr>
        <w:tc>
          <w:tcPr>
            <w:tcW w:w="47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Variable lease expense</w:t>
            </w:r>
          </w:p>
        </w:tc>
        <w:tc>
          <w:tcPr>
            <w:tcW w:w="1100" w:type="dxa"/>
            <w:vAlign w:val="bottom"/>
            <w:shd w:val="clear" w:color="auto" w:fill="CCEEFF"/>
          </w:tcPr>
          <w:p>
            <w:pPr>
              <w:spacing w:after="0"/>
              <w:rPr>
                <w:sz w:val="21"/>
                <w:szCs w:val="21"/>
                <w:color w:val="auto"/>
              </w:rPr>
            </w:pPr>
          </w:p>
        </w:tc>
        <w:tc>
          <w:tcPr>
            <w:tcW w:w="5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shd w:val="clear" w:color="auto" w:fill="CCEEFF"/>
          </w:tcPr>
          <w:p>
            <w:pPr>
              <w:spacing w:after="0"/>
              <w:rPr>
                <w:sz w:val="21"/>
                <w:szCs w:val="21"/>
                <w:color w:val="auto"/>
              </w:rPr>
            </w:pPr>
          </w:p>
        </w:tc>
        <w:tc>
          <w:tcPr>
            <w:tcW w:w="4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shd w:val="clear" w:color="auto" w:fill="CCEEFF"/>
          </w:tcPr>
          <w:p>
            <w:pPr>
              <w:spacing w:after="0"/>
              <w:rPr>
                <w:sz w:val="21"/>
                <w:szCs w:val="21"/>
                <w:color w:val="auto"/>
              </w:rPr>
            </w:pPr>
          </w:p>
        </w:tc>
        <w:tc>
          <w:tcPr>
            <w:tcW w:w="6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0"/>
        </w:trPr>
        <w:tc>
          <w:tcPr>
            <w:tcW w:w="4760" w:type="dxa"/>
            <w:vAlign w:val="bottom"/>
          </w:tcPr>
          <w:p>
            <w:pPr>
              <w:spacing w:after="0"/>
              <w:rPr>
                <w:sz w:val="19"/>
                <w:szCs w:val="19"/>
                <w:color w:val="auto"/>
              </w:rPr>
            </w:pPr>
          </w:p>
        </w:tc>
        <w:tc>
          <w:tcPr>
            <w:tcW w:w="1100" w:type="dxa"/>
            <w:vAlign w:val="bottom"/>
            <w:tcBorders>
              <w:top w:val="single" w:sz="8" w:color="auto"/>
              <w:bottom w:val="single" w:sz="8" w:color="auto"/>
            </w:tcBorders>
          </w:tcPr>
          <w:p>
            <w:pPr>
              <w:jc w:val="right"/>
              <w:ind w:right="919"/>
              <w:spacing w:after="0"/>
              <w:rPr>
                <w:sz w:val="20"/>
                <w:szCs w:val="20"/>
                <w:color w:val="auto"/>
              </w:rPr>
            </w:pPr>
            <w:r>
              <w:rPr>
                <w:rFonts w:ascii="Times New Roman" w:cs="Times New Roman" w:eastAsia="Times New Roman" w:hAnsi="Times New Roman"/>
                <w:sz w:val="16"/>
                <w:szCs w:val="16"/>
                <w:color w:val="auto"/>
                <w:w w:val="99"/>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604</w:t>
            </w:r>
          </w:p>
        </w:tc>
        <w:tc>
          <w:tcPr>
            <w:tcW w:w="80" w:type="dxa"/>
            <w:vAlign w:val="bottom"/>
          </w:tcPr>
          <w:p>
            <w:pPr>
              <w:spacing w:after="0"/>
              <w:rPr>
                <w:sz w:val="19"/>
                <w:szCs w:val="19"/>
                <w:color w:val="auto"/>
              </w:rPr>
            </w:pPr>
          </w:p>
        </w:tc>
        <w:tc>
          <w:tcPr>
            <w:tcW w:w="1240" w:type="dxa"/>
            <w:vAlign w:val="bottom"/>
            <w:tcBorders>
              <w:top w:val="single" w:sz="8" w:color="auto"/>
              <w:bottom w:val="single" w:sz="8" w:color="auto"/>
            </w:tcBorders>
          </w:tcPr>
          <w:p>
            <w:pPr>
              <w:jc w:val="right"/>
              <w:ind w:right="1059"/>
              <w:spacing w:after="0"/>
              <w:rPr>
                <w:sz w:val="20"/>
                <w:szCs w:val="20"/>
                <w:color w:val="auto"/>
              </w:rPr>
            </w:pPr>
            <w:r>
              <w:rPr>
                <w:rFonts w:ascii="Times New Roman" w:cs="Times New Roman" w:eastAsia="Times New Roman" w:hAnsi="Times New Roman"/>
                <w:sz w:val="16"/>
                <w:szCs w:val="16"/>
                <w:color w:val="auto"/>
                <w:w w:val="99"/>
              </w:rPr>
              <w:t>$</w:t>
            </w:r>
          </w:p>
        </w:tc>
        <w:tc>
          <w:tcPr>
            <w:tcW w:w="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797</w:t>
            </w:r>
          </w:p>
        </w:tc>
        <w:tc>
          <w:tcPr>
            <w:tcW w:w="100" w:type="dxa"/>
            <w:vAlign w:val="bottom"/>
          </w:tcPr>
          <w:p>
            <w:pPr>
              <w:spacing w:after="0"/>
              <w:rPr>
                <w:sz w:val="19"/>
                <w:szCs w:val="19"/>
                <w:color w:val="auto"/>
              </w:rPr>
            </w:pPr>
          </w:p>
        </w:tc>
        <w:tc>
          <w:tcPr>
            <w:tcW w:w="1020" w:type="dxa"/>
            <w:vAlign w:val="bottom"/>
            <w:tcBorders>
              <w:top w:val="single" w:sz="8" w:color="auto"/>
              <w:bottom w:val="single" w:sz="8" w:color="auto"/>
            </w:tcBorders>
          </w:tcPr>
          <w:p>
            <w:pPr>
              <w:jc w:val="right"/>
              <w:ind w:right="839"/>
              <w:spacing w:after="0"/>
              <w:rPr>
                <w:sz w:val="20"/>
                <w:szCs w:val="20"/>
                <w:color w:val="auto"/>
              </w:rPr>
            </w:pPr>
            <w:r>
              <w:rPr>
                <w:rFonts w:ascii="Times New Roman" w:cs="Times New Roman" w:eastAsia="Times New Roman" w:hAnsi="Times New Roman"/>
                <w:sz w:val="16"/>
                <w:szCs w:val="16"/>
                <w:color w:val="auto"/>
                <w:w w:val="99"/>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2,123</w:t>
            </w:r>
          </w:p>
        </w:tc>
        <w:tc>
          <w:tcPr>
            <w:tcW w:w="100" w:type="dxa"/>
            <w:vAlign w:val="bottom"/>
          </w:tcPr>
          <w:p>
            <w:pPr>
              <w:spacing w:after="0"/>
              <w:rPr>
                <w:sz w:val="19"/>
                <w:szCs w:val="19"/>
                <w:color w:val="auto"/>
              </w:rPr>
            </w:pPr>
          </w:p>
        </w:tc>
        <w:tc>
          <w:tcPr>
            <w:tcW w:w="360" w:type="dxa"/>
            <w:vAlign w:val="bottom"/>
            <w:tcBorders>
              <w:top w:val="single" w:sz="8" w:color="auto"/>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2,395</w:t>
            </w:r>
          </w:p>
        </w:tc>
      </w:tr>
      <w:tr>
        <w:trPr>
          <w:trHeight w:val="24"/>
        </w:trPr>
        <w:tc>
          <w:tcPr>
            <w:tcW w:w="476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41" w:name="page42"/>
    <w:bookmarkEnd w:id="4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BRIGHTSPIRE CAPITAL,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operating lease liability for ground leases was determined using a weighted average discount rate of 5.3%.</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these ground leases, the Company has elected the practical expedient to combine lease and related nonlease components as a single lease component.</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Office Lease</w:t>
      </w:r>
    </w:p>
    <w:p>
      <w:pPr>
        <w:spacing w:after="0" w:line="160"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At September 30, 2026 and December 31, 2025, the weighted average remaining lease term was 2.7 years and 3.4 years for office leases, respectively. The office leases are located in New York, New York and Los Angeles, California.</w:t>
      </w:r>
    </w:p>
    <w:p>
      <w:pPr>
        <w:spacing w:after="0" w:line="8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For the three and nine months ended September 30, 2026 and 2025, the following table summarizes lease expense, included in operating expense (dollars in thousands):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760" w:type="dxa"/>
            <w:vAlign w:val="bottom"/>
          </w:tcPr>
          <w:p>
            <w:pPr>
              <w:spacing w:after="0"/>
              <w:rPr>
                <w:sz w:val="18"/>
                <w:szCs w:val="18"/>
                <w:color w:val="auto"/>
              </w:rPr>
            </w:pPr>
          </w:p>
        </w:tc>
        <w:tc>
          <w:tcPr>
            <w:tcW w:w="286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6"/>
                <w:szCs w:val="16"/>
                <w:b w:val="1"/>
                <w:bCs w:val="1"/>
                <w:color w:val="auto"/>
              </w:rPr>
              <w:t>Three Months Ended September 30,</w:t>
            </w:r>
          </w:p>
        </w:tc>
        <w:tc>
          <w:tcPr>
            <w:tcW w:w="3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2960" w:type="dxa"/>
            <w:vAlign w:val="bottom"/>
            <w:tcBorders>
              <w:bottom w:val="single" w:sz="8" w:color="auto"/>
            </w:tcBorders>
            <w:gridSpan w:val="4"/>
          </w:tcPr>
          <w:p>
            <w:pPr>
              <w:jc w:val="right"/>
              <w:ind w:right="319"/>
              <w:spacing w:after="0"/>
              <w:rPr>
                <w:sz w:val="20"/>
                <w:szCs w:val="20"/>
                <w:color w:val="auto"/>
              </w:rPr>
            </w:pPr>
            <w:r>
              <w:rPr>
                <w:rFonts w:ascii="Times New Roman" w:cs="Times New Roman" w:eastAsia="Times New Roman" w:hAnsi="Times New Roman"/>
                <w:sz w:val="16"/>
                <w:szCs w:val="16"/>
                <w:b w:val="1"/>
                <w:bCs w:val="1"/>
                <w:color w:val="auto"/>
              </w:rPr>
              <w:t>Nine Months Ended September 30,</w:t>
            </w:r>
          </w:p>
        </w:tc>
      </w:tr>
      <w:tr>
        <w:trPr>
          <w:trHeight w:val="223"/>
        </w:trPr>
        <w:tc>
          <w:tcPr>
            <w:tcW w:w="4760" w:type="dxa"/>
            <w:vAlign w:val="bottom"/>
            <w:tcBorders>
              <w:bottom w:val="single" w:sz="8" w:color="CCEEFF"/>
            </w:tcBorders>
          </w:tcPr>
          <w:p>
            <w:pPr>
              <w:spacing w:after="0"/>
              <w:rPr>
                <w:sz w:val="19"/>
                <w:szCs w:val="19"/>
                <w:color w:val="auto"/>
              </w:rPr>
            </w:pPr>
          </w:p>
        </w:tc>
        <w:tc>
          <w:tcPr>
            <w:tcW w:w="108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2026</w:t>
            </w:r>
          </w:p>
        </w:tc>
        <w:tc>
          <w:tcPr>
            <w:tcW w:w="46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22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2025</w:t>
            </w:r>
          </w:p>
        </w:tc>
        <w:tc>
          <w:tcPr>
            <w:tcW w:w="3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539"/>
              <w:spacing w:after="0"/>
              <w:rPr>
                <w:sz w:val="20"/>
                <w:szCs w:val="20"/>
                <w:color w:val="auto"/>
              </w:rPr>
            </w:pPr>
            <w:r>
              <w:rPr>
                <w:rFonts w:ascii="Times New Roman" w:cs="Times New Roman" w:eastAsia="Times New Roman" w:hAnsi="Times New Roman"/>
                <w:sz w:val="16"/>
                <w:szCs w:val="16"/>
                <w:b w:val="1"/>
                <w:bCs w:val="1"/>
                <w:color w:val="auto"/>
              </w:rPr>
              <w:t>2026</w:t>
            </w:r>
          </w:p>
        </w:tc>
        <w:tc>
          <w:tcPr>
            <w:tcW w:w="8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539"/>
              <w:spacing w:after="0"/>
              <w:rPr>
                <w:sz w:val="20"/>
                <w:szCs w:val="20"/>
                <w:color w:val="auto"/>
              </w:rPr>
            </w:pPr>
            <w:r>
              <w:rPr>
                <w:rFonts w:ascii="Times New Roman" w:cs="Times New Roman" w:eastAsia="Times New Roman" w:hAnsi="Times New Roman"/>
                <w:sz w:val="16"/>
                <w:szCs w:val="16"/>
                <w:b w:val="1"/>
                <w:bCs w:val="1"/>
                <w:color w:val="auto"/>
              </w:rPr>
              <w:t>2025</w:t>
            </w:r>
          </w:p>
        </w:tc>
      </w:tr>
      <w:tr>
        <w:trPr>
          <w:trHeight w:val="212"/>
        </w:trPr>
        <w:tc>
          <w:tcPr>
            <w:tcW w:w="4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Corporate Offices</w:t>
            </w:r>
          </w:p>
        </w:tc>
        <w:tc>
          <w:tcPr>
            <w:tcW w:w="10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r>
      <w:tr>
        <w:trPr>
          <w:trHeight w:val="227"/>
        </w:trPr>
        <w:tc>
          <w:tcPr>
            <w:tcW w:w="47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Operating lease expense:</w:t>
            </w:r>
          </w:p>
        </w:tc>
        <w:tc>
          <w:tcPr>
            <w:tcW w:w="10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33"/>
        </w:trPr>
        <w:tc>
          <w:tcPr>
            <w:tcW w:w="47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Fixed lease expense</w:t>
            </w:r>
          </w:p>
        </w:tc>
        <w:tc>
          <w:tcPr>
            <w:tcW w:w="1080" w:type="dxa"/>
            <w:vAlign w:val="bottom"/>
            <w:shd w:val="clear" w:color="auto" w:fill="CCEEFF"/>
          </w:tcPr>
          <w:p>
            <w:pPr>
              <w:jc w:val="right"/>
              <w:ind w:right="899"/>
              <w:spacing w:after="0"/>
              <w:rPr>
                <w:sz w:val="20"/>
                <w:szCs w:val="20"/>
                <w:color w:val="auto"/>
              </w:rPr>
            </w:pPr>
            <w:r>
              <w:rPr>
                <w:rFonts w:ascii="Times New Roman" w:cs="Times New Roman" w:eastAsia="Times New Roman" w:hAnsi="Times New Roman"/>
                <w:sz w:val="16"/>
                <w:szCs w:val="16"/>
                <w:color w:val="auto"/>
                <w:w w:val="99"/>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331</w:t>
            </w:r>
          </w:p>
        </w:tc>
        <w:tc>
          <w:tcPr>
            <w:tcW w:w="100" w:type="dxa"/>
            <w:vAlign w:val="bottom"/>
            <w:shd w:val="clear" w:color="auto" w:fill="CCEEFF"/>
          </w:tcPr>
          <w:p>
            <w:pPr>
              <w:spacing w:after="0"/>
              <w:rPr>
                <w:sz w:val="20"/>
                <w:szCs w:val="20"/>
                <w:color w:val="auto"/>
              </w:rPr>
            </w:pPr>
          </w:p>
        </w:tc>
        <w:tc>
          <w:tcPr>
            <w:tcW w:w="1220" w:type="dxa"/>
            <w:vAlign w:val="bottom"/>
            <w:shd w:val="clear" w:color="auto" w:fill="CCEEFF"/>
          </w:tcPr>
          <w:p>
            <w:pPr>
              <w:jc w:val="right"/>
              <w:ind w:right="1039"/>
              <w:spacing w:after="0"/>
              <w:rPr>
                <w:sz w:val="20"/>
                <w:szCs w:val="20"/>
                <w:color w:val="auto"/>
              </w:rPr>
            </w:pPr>
            <w:r>
              <w:rPr>
                <w:rFonts w:ascii="Times New Roman" w:cs="Times New Roman" w:eastAsia="Times New Roman" w:hAnsi="Times New Roman"/>
                <w:sz w:val="16"/>
                <w:szCs w:val="16"/>
                <w:color w:val="auto"/>
                <w:w w:val="99"/>
              </w:rPr>
              <w:t>$</w:t>
            </w: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328</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990</w:t>
            </w:r>
          </w:p>
        </w:tc>
        <w:tc>
          <w:tcPr>
            <w:tcW w:w="80" w:type="dxa"/>
            <w:vAlign w:val="bottom"/>
            <w:shd w:val="clear" w:color="auto" w:fill="CCEEFF"/>
          </w:tcPr>
          <w:p>
            <w:pPr>
              <w:spacing w:after="0"/>
              <w:rPr>
                <w:sz w:val="20"/>
                <w:szCs w:val="20"/>
                <w:color w:val="auto"/>
              </w:rPr>
            </w:pPr>
          </w:p>
        </w:tc>
        <w:tc>
          <w:tcPr>
            <w:tcW w:w="36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979</w:t>
            </w:r>
          </w:p>
        </w:tc>
      </w:tr>
      <w:tr>
        <w:trPr>
          <w:trHeight w:val="226"/>
        </w:trPr>
        <w:tc>
          <w:tcPr>
            <w:tcW w:w="47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Variable lease expense</w:t>
            </w:r>
          </w:p>
        </w:tc>
        <w:tc>
          <w:tcPr>
            <w:tcW w:w="1080" w:type="dxa"/>
            <w:vAlign w:val="bottom"/>
          </w:tcPr>
          <w:p>
            <w:pPr>
              <w:spacing w:after="0"/>
              <w:rPr>
                <w:sz w:val="19"/>
                <w:szCs w:val="19"/>
                <w:color w:val="auto"/>
              </w:rPr>
            </w:pPr>
          </w:p>
        </w:tc>
        <w:tc>
          <w:tcPr>
            <w:tcW w:w="5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tcPr>
          <w:p>
            <w:pPr>
              <w:spacing w:after="0"/>
              <w:rPr>
                <w:sz w:val="19"/>
                <w:szCs w:val="19"/>
                <w:color w:val="auto"/>
              </w:rPr>
            </w:pPr>
          </w:p>
        </w:tc>
        <w:tc>
          <w:tcPr>
            <w:tcW w:w="4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9"/>
                <w:szCs w:val="19"/>
                <w:color w:val="auto"/>
              </w:rPr>
            </w:pPr>
          </w:p>
        </w:tc>
        <w:tc>
          <w:tcPr>
            <w:tcW w:w="14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48"/>
        </w:trPr>
        <w:tc>
          <w:tcPr>
            <w:tcW w:w="4760" w:type="dxa"/>
            <w:vAlign w:val="bottom"/>
            <w:tcBorders>
              <w:top w:val="single" w:sz="8" w:color="CCEEFF"/>
              <w:bottom w:val="single" w:sz="8" w:color="CCEEFF"/>
            </w:tcBorders>
            <w:shd w:val="clear" w:color="auto" w:fill="CCEEFF"/>
          </w:tcPr>
          <w:p>
            <w:pPr>
              <w:spacing w:after="0"/>
              <w:rPr>
                <w:sz w:val="21"/>
                <w:szCs w:val="21"/>
                <w:color w:val="auto"/>
              </w:rPr>
            </w:pPr>
          </w:p>
        </w:tc>
        <w:tc>
          <w:tcPr>
            <w:tcW w:w="1080" w:type="dxa"/>
            <w:vAlign w:val="bottom"/>
            <w:tcBorders>
              <w:top w:val="single" w:sz="8" w:color="auto"/>
              <w:bottom w:val="single" w:sz="8" w:color="auto"/>
            </w:tcBorders>
            <w:shd w:val="clear" w:color="auto" w:fill="CCEEFF"/>
          </w:tcPr>
          <w:p>
            <w:pPr>
              <w:jc w:val="right"/>
              <w:ind w:right="899"/>
              <w:spacing w:after="0"/>
              <w:rPr>
                <w:sz w:val="20"/>
                <w:szCs w:val="20"/>
                <w:color w:val="auto"/>
              </w:rPr>
            </w:pPr>
            <w:r>
              <w:rPr>
                <w:rFonts w:ascii="Times New Roman" w:cs="Times New Roman" w:eastAsia="Times New Roman" w:hAnsi="Times New Roman"/>
                <w:sz w:val="16"/>
                <w:szCs w:val="16"/>
                <w:color w:val="auto"/>
                <w:w w:val="99"/>
              </w:rPr>
              <w:t>$</w:t>
            </w: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20" w:type="dxa"/>
            <w:vAlign w:val="bottom"/>
            <w:tcBorders>
              <w:top w:val="single" w:sz="8" w:color="auto"/>
              <w:bottom w:val="single" w:sz="8" w:color="auto"/>
            </w:tcBorders>
            <w:shd w:val="clear" w:color="auto" w:fill="CCEEFF"/>
          </w:tcPr>
          <w:p>
            <w:pPr>
              <w:jc w:val="right"/>
              <w:ind w:right="1039"/>
              <w:spacing w:after="0"/>
              <w:rPr>
                <w:sz w:val="20"/>
                <w:szCs w:val="20"/>
                <w:color w:val="auto"/>
              </w:rPr>
            </w:pPr>
            <w:r>
              <w:rPr>
                <w:rFonts w:ascii="Times New Roman" w:cs="Times New Roman" w:eastAsia="Times New Roman" w:hAnsi="Times New Roman"/>
                <w:sz w:val="16"/>
                <w:szCs w:val="16"/>
                <w:color w:val="auto"/>
                <w:w w:val="99"/>
              </w:rPr>
              <w:t>$</w:t>
            </w:r>
          </w:p>
        </w:tc>
        <w:tc>
          <w:tcPr>
            <w:tcW w:w="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328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990</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360" w:type="dxa"/>
            <w:vAlign w:val="bottom"/>
            <w:tcBorders>
              <w:top w:val="single" w:sz="8" w:color="auto"/>
              <w:bottom w:val="single" w:sz="8" w:color="auto"/>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979</w:t>
            </w:r>
          </w:p>
        </w:tc>
      </w:tr>
      <w:tr>
        <w:trPr>
          <w:trHeight w:val="20"/>
        </w:trPr>
        <w:tc>
          <w:tcPr>
            <w:tcW w:w="476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bl>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Total cash paid for office leases was $1.2 million for the nine months ended September 30, 2026.</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operating lease liability for the office leases was determined using a weighted average discount rate of 2.4%.</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these office leases, the Company has elected the practical expedient to combine lease and related nonlease components as a single lease component.</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Litigation and Claims</w:t>
      </w:r>
    </w:p>
    <w:p>
      <w:pPr>
        <w:spacing w:after="0" w:line="16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may be involved in litigation and claims in the ordinary course of the business. As of September 30, 2026, the Company was not involved in any legal proceedings that are expected to have a material adverse effect on the Company’s results of operations, financial position, or liquidity.</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 Segment Reporting</w:t>
      </w:r>
    </w:p>
    <w:p>
      <w:pPr>
        <w:spacing w:after="0" w:line="14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presents its business through three operating and reportable segments described below and is how management views the business activities of the Company.</w:t>
      </w:r>
    </w:p>
    <w:p>
      <w:pPr>
        <w:spacing w:after="0" w:line="94" w:lineRule="exact"/>
        <w:rPr>
          <w:sz w:val="20"/>
          <w:szCs w:val="20"/>
          <w:color w:val="auto"/>
        </w:rPr>
      </w:pPr>
    </w:p>
    <w:p>
      <w:pPr>
        <w:ind w:left="660" w:hanging="328"/>
        <w:spacing w:after="0" w:line="282" w:lineRule="auto"/>
        <w:tabs>
          <w:tab w:leader="none" w:pos="65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Senior and Mezzanine Loans and Preferred Equity—CRE debt investments including senior and mezzanine loans, and preferred equity interests as well as participations in such loans.</w:t>
      </w:r>
    </w:p>
    <w:p>
      <w:pPr>
        <w:spacing w:after="0" w:line="94" w:lineRule="exact"/>
        <w:rPr>
          <w:rFonts w:ascii="Times New Roman" w:cs="Times New Roman" w:eastAsia="Times New Roman" w:hAnsi="Times New Roman"/>
          <w:sz w:val="18"/>
          <w:szCs w:val="18"/>
          <w:color w:val="auto"/>
        </w:rPr>
      </w:pPr>
    </w:p>
    <w:p>
      <w:pPr>
        <w:jc w:val="both"/>
        <w:ind w:left="660" w:hanging="328"/>
        <w:spacing w:after="0" w:line="258" w:lineRule="auto"/>
        <w:tabs>
          <w:tab w:leader="none" w:pos="65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Leased and Other Real Estate—direct investments in CRE with long-term leases to tenants on a net lease basis, where such tenants generally will be responsible for property operating expenses such as insurance, utilities, maintenance, capital expenditures and real estate taxes. It also includes other real estate, currently consisting of one investment with direct ownership in commercial real estate and four additional properties that the Company acquired through foreclosure or deed-in-lieu of foreclosure and one property that the Company consolidates as the primary beneficiary.</w:t>
      </w:r>
    </w:p>
    <w:p>
      <w:pPr>
        <w:spacing w:after="0" w:line="7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Corporate and Other—includes corporate-level asset management and other fees including expenses related to the Company’s secured revolving credit facility (the “Bank Credit Facility”) and compensation and benefits. It also includes money market income on its cash balances and a sub-portfolio of private equity funds.</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BRIGHTSPIRE CAPITAL,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9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U.S. GAAP defines the Chief Operating Decision Maker (“CODM”) as the person or persons who perform the function of allocating resources to and assessing the performance of segments of a public entity. The Company has identified the CODM as its Chief Executive Officer, who is responsible for making key operating decisions of the Company. The CODM reviews net income (loss) for each of the three operating segments on the Company’s consolidated statements of operations to make decisions, allocate resources, and assess segment performance.</w:t>
      </w:r>
    </w:p>
    <w:p>
      <w:pPr>
        <w:spacing w:after="0" w:line="9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primarily generates revenue from net interest income on the loan portfolio and rental and other income from its net leased, multi-tenant office and hotel assets. The Company’s income is primarily derived through the difference between revenue and the cost at which the Company is able to finance its investments. The Company may also acquire investments which generate attractive returns without any leverage.</w:t>
      </w:r>
    </w:p>
    <w:p>
      <w:pPr>
        <w:spacing w:after="0" w:line="108"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following tables present the relevant financial information for the reportable segments for the three and nine months ended September 30, 2026 and 2025 (dollars in thousands):</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2560" w:type="dxa"/>
            <w:vAlign w:val="bottom"/>
          </w:tcPr>
          <w:p>
            <w:pPr>
              <w:spacing w:after="0"/>
              <w:rPr>
                <w:sz w:val="13"/>
                <w:szCs w:val="13"/>
                <w:color w:val="auto"/>
              </w:rPr>
            </w:pPr>
          </w:p>
        </w:tc>
        <w:tc>
          <w:tcPr>
            <w:tcW w:w="29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Senior and</w:t>
            </w:r>
          </w:p>
        </w:tc>
        <w:tc>
          <w:tcPr>
            <w:tcW w:w="100" w:type="dxa"/>
            <w:vAlign w:val="bottom"/>
          </w:tcPr>
          <w:p>
            <w:pPr>
              <w:spacing w:after="0"/>
              <w:rPr>
                <w:sz w:val="13"/>
                <w:szCs w:val="13"/>
                <w:color w:val="auto"/>
              </w:rPr>
            </w:pPr>
          </w:p>
        </w:tc>
        <w:tc>
          <w:tcPr>
            <w:tcW w:w="134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Net Leased and</w:t>
            </w:r>
          </w:p>
        </w:tc>
        <w:tc>
          <w:tcPr>
            <w:tcW w:w="4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560" w:type="dxa"/>
            <w:vAlign w:val="bottom"/>
          </w:tcPr>
          <w:p>
            <w:pPr>
              <w:spacing w:after="0"/>
              <w:rPr>
                <w:sz w:val="12"/>
                <w:szCs w:val="12"/>
                <w:color w:val="auto"/>
              </w:rPr>
            </w:pPr>
          </w:p>
        </w:tc>
        <w:tc>
          <w:tcPr>
            <w:tcW w:w="2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4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Mezzanine Loans</w:t>
            </w:r>
          </w:p>
        </w:tc>
        <w:tc>
          <w:tcPr>
            <w:tcW w:w="100" w:type="dxa"/>
            <w:vAlign w:val="bottom"/>
          </w:tcPr>
          <w:p>
            <w:pPr>
              <w:spacing w:after="0"/>
              <w:rPr>
                <w:sz w:val="12"/>
                <w:szCs w:val="12"/>
                <w:color w:val="auto"/>
              </w:rPr>
            </w:pPr>
          </w:p>
        </w:tc>
        <w:tc>
          <w:tcPr>
            <w:tcW w:w="1340" w:type="dxa"/>
            <w:vAlign w:val="bottom"/>
            <w:gridSpan w:val="2"/>
            <w:vMerge w:val="continue"/>
          </w:tcPr>
          <w:p>
            <w:pPr>
              <w:spacing w:after="0"/>
              <w:rPr>
                <w:sz w:val="12"/>
                <w:szCs w:val="12"/>
                <w:color w:val="auto"/>
              </w:rPr>
            </w:pPr>
          </w:p>
        </w:tc>
        <w:tc>
          <w:tcPr>
            <w:tcW w:w="146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Corporate and Other</w:t>
            </w:r>
          </w:p>
        </w:tc>
        <w:tc>
          <w:tcPr>
            <w:tcW w:w="300" w:type="dxa"/>
            <w:vAlign w:val="bottom"/>
          </w:tcPr>
          <w:p>
            <w:pPr>
              <w:spacing w:after="0"/>
              <w:rPr>
                <w:sz w:val="12"/>
                <w:szCs w:val="12"/>
                <w:color w:val="auto"/>
              </w:rPr>
            </w:pPr>
          </w:p>
        </w:tc>
        <w:tc>
          <w:tcPr>
            <w:tcW w:w="1060" w:type="dxa"/>
            <w:vAlign w:val="bottom"/>
            <w:vMerge w:val="restart"/>
          </w:tcPr>
          <w:p>
            <w:pPr>
              <w:jc w:val="right"/>
              <w:ind w:right="44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560" w:type="dxa"/>
            <w:vAlign w:val="bottom"/>
          </w:tcPr>
          <w:p>
            <w:pPr>
              <w:spacing w:after="0"/>
              <w:rPr>
                <w:sz w:val="17"/>
                <w:szCs w:val="17"/>
                <w:color w:val="auto"/>
              </w:rPr>
            </w:pPr>
          </w:p>
        </w:tc>
        <w:tc>
          <w:tcPr>
            <w:tcW w:w="2940" w:type="dxa"/>
            <w:vAlign w:val="bottom"/>
          </w:tcPr>
          <w:p>
            <w:pPr>
              <w:spacing w:after="0"/>
              <w:rPr>
                <w:sz w:val="17"/>
                <w:szCs w:val="17"/>
                <w:color w:val="auto"/>
              </w:rPr>
            </w:pPr>
          </w:p>
        </w:tc>
        <w:tc>
          <w:tcPr>
            <w:tcW w:w="146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and Preferred Equity</w:t>
            </w:r>
          </w:p>
        </w:tc>
        <w:tc>
          <w:tcPr>
            <w:tcW w:w="100" w:type="dxa"/>
            <w:vAlign w:val="bottom"/>
          </w:tcPr>
          <w:p>
            <w:pPr>
              <w:spacing w:after="0"/>
              <w:rPr>
                <w:sz w:val="17"/>
                <w:szCs w:val="17"/>
                <w:color w:val="auto"/>
              </w:rPr>
            </w:pPr>
          </w:p>
        </w:tc>
        <w:tc>
          <w:tcPr>
            <w:tcW w:w="134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Other Real Estate</w:t>
            </w:r>
          </w:p>
        </w:tc>
        <w:tc>
          <w:tcPr>
            <w:tcW w:w="1460" w:type="dxa"/>
            <w:vAlign w:val="bottom"/>
            <w:gridSpan w:val="3"/>
            <w:vMerge w:val="continue"/>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50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Three Months Ended September 30, 2026</w:t>
            </w:r>
          </w:p>
        </w:tc>
        <w:tc>
          <w:tcPr>
            <w:tcW w:w="120" w:type="dxa"/>
            <w:vAlign w:val="bottom"/>
            <w:tcBorders>
              <w:top w:val="single" w:sz="8" w:color="auto"/>
            </w:tcBorders>
          </w:tcPr>
          <w:p>
            <w:pPr>
              <w:spacing w:after="0"/>
              <w:rPr>
                <w:sz w:val="12"/>
                <w:szCs w:val="12"/>
                <w:color w:val="auto"/>
              </w:rPr>
            </w:pPr>
          </w:p>
        </w:tc>
        <w:tc>
          <w:tcPr>
            <w:tcW w:w="12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2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106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2560" w:type="dxa"/>
            <w:vAlign w:val="bottom"/>
            <w:tcBorders>
              <w:top w:val="single" w:sz="8" w:color="auto"/>
            </w:tcBorders>
          </w:tcPr>
          <w:p>
            <w:pPr>
              <w:spacing w:after="0"/>
              <w:rPr>
                <w:sz w:val="2"/>
                <w:szCs w:val="2"/>
                <w:color w:val="auto"/>
              </w:rPr>
            </w:pPr>
          </w:p>
        </w:tc>
        <w:tc>
          <w:tcPr>
            <w:tcW w:w="2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Borders>
              <w:bottom w:val="single" w:sz="8" w:color="CCEEFF"/>
            </w:tcBorders>
            <w:shd w:val="clear" w:color="auto" w:fill="CCEEFF"/>
          </w:tcPr>
          <w:p>
            <w:pPr>
              <w:spacing w:after="0"/>
              <w:rPr>
                <w:sz w:val="17"/>
                <w:szCs w:val="17"/>
                <w:color w:val="auto"/>
              </w:rPr>
            </w:pPr>
          </w:p>
        </w:tc>
        <w:tc>
          <w:tcPr>
            <w:tcW w:w="55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Interest income</w:t>
            </w:r>
          </w:p>
        </w:tc>
        <w:tc>
          <w:tcPr>
            <w:tcW w:w="1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56,179</w:t>
            </w:r>
          </w:p>
        </w:tc>
        <w:tc>
          <w:tcPr>
            <w:tcW w:w="1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100" w:type="dxa"/>
            <w:vAlign w:val="bottom"/>
            <w:tcBorders>
              <w:bottom w:val="single" w:sz="8" w:color="CCEEFF"/>
            </w:tcBorders>
            <w:shd w:val="clear" w:color="auto" w:fill="CCEEFF"/>
          </w:tcPr>
          <w:p>
            <w:pPr>
              <w:spacing w:after="0"/>
              <w:rPr>
                <w:sz w:val="17"/>
                <w:szCs w:val="17"/>
                <w:color w:val="auto"/>
              </w:rPr>
            </w:pPr>
          </w:p>
        </w:tc>
        <w:tc>
          <w:tcPr>
            <w:tcW w:w="4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Borders>
              <w:bottom w:val="single" w:sz="8" w:color="CCEEFF"/>
            </w:tcBorders>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56,168</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55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Interest expense</w:t>
            </w:r>
          </w:p>
        </w:tc>
        <w:tc>
          <w:tcPr>
            <w:tcW w:w="12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(36,346)</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(1,546)</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(37,905)</w:t>
            </w: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2560" w:type="dxa"/>
            <w:vAlign w:val="bottom"/>
          </w:tcPr>
          <w:p>
            <w:pPr>
              <w:spacing w:after="0"/>
              <w:rPr>
                <w:sz w:val="2"/>
                <w:szCs w:val="2"/>
                <w:color w:val="auto"/>
              </w:rPr>
            </w:pPr>
          </w:p>
        </w:tc>
        <w:tc>
          <w:tcPr>
            <w:tcW w:w="2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Borders>
              <w:bottom w:val="single" w:sz="8" w:color="CCEEFF"/>
            </w:tcBorders>
            <w:shd w:val="clear" w:color="auto" w:fill="CCEEFF"/>
          </w:tcPr>
          <w:p>
            <w:pPr>
              <w:spacing w:after="0"/>
              <w:rPr>
                <w:sz w:val="17"/>
                <w:szCs w:val="17"/>
                <w:color w:val="auto"/>
              </w:rPr>
            </w:pPr>
          </w:p>
        </w:tc>
        <w:tc>
          <w:tcPr>
            <w:tcW w:w="55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Property and other income</w:t>
            </w:r>
          </w:p>
        </w:tc>
        <w:tc>
          <w:tcPr>
            <w:tcW w:w="120" w:type="dxa"/>
            <w:vAlign w:val="bottom"/>
            <w:tcBorders>
              <w:bottom w:val="single" w:sz="8" w:color="CCEEFF"/>
            </w:tcBorders>
            <w:shd w:val="clear" w:color="auto" w:fill="CCEEFF"/>
          </w:tcPr>
          <w:p>
            <w:pPr>
              <w:spacing w:after="0"/>
              <w:rPr>
                <w:sz w:val="17"/>
                <w:szCs w:val="17"/>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77</w:t>
            </w:r>
          </w:p>
        </w:tc>
        <w:tc>
          <w:tcPr>
            <w:tcW w:w="1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30,737</w:t>
            </w:r>
          </w:p>
        </w:tc>
        <w:tc>
          <w:tcPr>
            <w:tcW w:w="100" w:type="dxa"/>
            <w:vAlign w:val="bottom"/>
            <w:tcBorders>
              <w:bottom w:val="single" w:sz="8" w:color="CCEEFF"/>
            </w:tcBorders>
            <w:shd w:val="clear" w:color="auto" w:fill="CCEEFF"/>
          </w:tcPr>
          <w:p>
            <w:pPr>
              <w:spacing w:after="0"/>
              <w:rPr>
                <w:sz w:val="17"/>
                <w:szCs w:val="17"/>
                <w:color w:val="auto"/>
              </w:rPr>
            </w:pPr>
          </w:p>
        </w:tc>
        <w:tc>
          <w:tcPr>
            <w:tcW w:w="46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373</w:t>
            </w:r>
          </w:p>
        </w:tc>
        <w:tc>
          <w:tcPr>
            <w:tcW w:w="10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31,187</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55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Property operating expense</w:t>
            </w:r>
          </w:p>
        </w:tc>
        <w:tc>
          <w:tcPr>
            <w:tcW w:w="120" w:type="dxa"/>
            <w:vAlign w:val="bottom"/>
          </w:tcPr>
          <w:p>
            <w:pPr>
              <w:spacing w:after="0"/>
              <w:rPr>
                <w:sz w:val="16"/>
                <w:szCs w:val="16"/>
                <w:color w:val="auto"/>
              </w:rPr>
            </w:pP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(19,161)</w:t>
            </w: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(19,161)</w:t>
            </w: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2560" w:type="dxa"/>
            <w:vAlign w:val="bottom"/>
          </w:tcPr>
          <w:p>
            <w:pPr>
              <w:spacing w:after="0"/>
              <w:rPr>
                <w:sz w:val="2"/>
                <w:szCs w:val="2"/>
                <w:color w:val="auto"/>
              </w:rPr>
            </w:pPr>
          </w:p>
        </w:tc>
        <w:tc>
          <w:tcPr>
            <w:tcW w:w="2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Borders>
              <w:bottom w:val="single" w:sz="8" w:color="CCEEFF"/>
            </w:tcBorders>
            <w:shd w:val="clear" w:color="auto" w:fill="CCEEFF"/>
          </w:tcPr>
          <w:p>
            <w:pPr>
              <w:spacing w:after="0"/>
              <w:rPr>
                <w:sz w:val="17"/>
                <w:szCs w:val="17"/>
                <w:color w:val="auto"/>
              </w:rPr>
            </w:pPr>
          </w:p>
        </w:tc>
        <w:tc>
          <w:tcPr>
            <w:tcW w:w="55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Transaction, investment and servicing expense</w:t>
            </w:r>
          </w:p>
        </w:tc>
        <w:tc>
          <w:tcPr>
            <w:tcW w:w="120" w:type="dxa"/>
            <w:vAlign w:val="bottom"/>
            <w:tcBorders>
              <w:bottom w:val="single" w:sz="8" w:color="CCEEFF"/>
            </w:tcBorders>
            <w:shd w:val="clear" w:color="auto" w:fill="CCEEFF"/>
          </w:tcPr>
          <w:p>
            <w:pPr>
              <w:spacing w:after="0"/>
              <w:rPr>
                <w:sz w:val="17"/>
                <w:szCs w:val="17"/>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(1,346)</w:t>
            </w:r>
          </w:p>
        </w:tc>
        <w:tc>
          <w:tcPr>
            <w:tcW w:w="1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w:t>
            </w:r>
          </w:p>
        </w:tc>
        <w:tc>
          <w:tcPr>
            <w:tcW w:w="100" w:type="dxa"/>
            <w:vAlign w:val="bottom"/>
            <w:tcBorders>
              <w:bottom w:val="single" w:sz="8" w:color="CCEEFF"/>
            </w:tcBorders>
            <w:shd w:val="clear" w:color="auto" w:fill="CCEEFF"/>
          </w:tcPr>
          <w:p>
            <w:pPr>
              <w:spacing w:after="0"/>
              <w:rPr>
                <w:sz w:val="17"/>
                <w:szCs w:val="17"/>
                <w:color w:val="auto"/>
              </w:rPr>
            </w:pPr>
          </w:p>
        </w:tc>
        <w:tc>
          <w:tcPr>
            <w:tcW w:w="46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w:t>
            </w:r>
          </w:p>
        </w:tc>
        <w:tc>
          <w:tcPr>
            <w:tcW w:w="10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(1,380)</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55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Interest expense on real estate</w:t>
            </w:r>
          </w:p>
        </w:tc>
        <w:tc>
          <w:tcPr>
            <w:tcW w:w="120" w:type="dxa"/>
            <w:vAlign w:val="bottom"/>
          </w:tcPr>
          <w:p>
            <w:pPr>
              <w:spacing w:after="0"/>
              <w:rPr>
                <w:sz w:val="16"/>
                <w:szCs w:val="16"/>
                <w:color w:val="auto"/>
              </w:rPr>
            </w:pP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(4,655)</w:t>
            </w: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(4,655)</w:t>
            </w: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2560" w:type="dxa"/>
            <w:vAlign w:val="bottom"/>
          </w:tcPr>
          <w:p>
            <w:pPr>
              <w:spacing w:after="0"/>
              <w:rPr>
                <w:sz w:val="2"/>
                <w:szCs w:val="2"/>
                <w:color w:val="auto"/>
              </w:rPr>
            </w:pPr>
          </w:p>
        </w:tc>
        <w:tc>
          <w:tcPr>
            <w:tcW w:w="2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Borders>
              <w:bottom w:val="single" w:sz="8" w:color="CCEEFF"/>
            </w:tcBorders>
            <w:shd w:val="clear" w:color="auto" w:fill="CCEEFF"/>
          </w:tcPr>
          <w:p>
            <w:pPr>
              <w:spacing w:after="0"/>
              <w:rPr>
                <w:sz w:val="17"/>
                <w:szCs w:val="17"/>
                <w:color w:val="auto"/>
              </w:rPr>
            </w:pPr>
          </w:p>
        </w:tc>
        <w:tc>
          <w:tcPr>
            <w:tcW w:w="55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120" w:type="dxa"/>
            <w:vAlign w:val="bottom"/>
            <w:tcBorders>
              <w:bottom w:val="single" w:sz="8" w:color="CCEEFF"/>
            </w:tcBorders>
            <w:shd w:val="clear" w:color="auto" w:fill="CCEEFF"/>
          </w:tcPr>
          <w:p>
            <w:pPr>
              <w:spacing w:after="0"/>
              <w:rPr>
                <w:sz w:val="17"/>
                <w:szCs w:val="17"/>
                <w:color w:val="auto"/>
              </w:rPr>
            </w:pPr>
          </w:p>
        </w:tc>
        <w:tc>
          <w:tcPr>
            <w:tcW w:w="13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(4,052)</w:t>
            </w:r>
          </w:p>
        </w:tc>
        <w:tc>
          <w:tcPr>
            <w:tcW w:w="100" w:type="dxa"/>
            <w:vAlign w:val="bottom"/>
            <w:tcBorders>
              <w:bottom w:val="single" w:sz="8" w:color="CCEEFF"/>
            </w:tcBorders>
            <w:shd w:val="clear" w:color="auto" w:fill="CCEEFF"/>
          </w:tcPr>
          <w:p>
            <w:pPr>
              <w:spacing w:after="0"/>
              <w:rPr>
                <w:sz w:val="17"/>
                <w:szCs w:val="17"/>
                <w:color w:val="auto"/>
              </w:rPr>
            </w:pPr>
          </w:p>
        </w:tc>
        <w:tc>
          <w:tcPr>
            <w:tcW w:w="46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w:t>
            </w:r>
          </w:p>
        </w:tc>
        <w:tc>
          <w:tcPr>
            <w:tcW w:w="10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(4,084)</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55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Increase of current expected credit loss reserve</w:t>
            </w:r>
          </w:p>
        </w:tc>
        <w:tc>
          <w:tcPr>
            <w:tcW w:w="12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(15,039)</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tcPr>
          <w:p>
            <w:pPr>
              <w:spacing w:after="0"/>
              <w:rPr>
                <w:sz w:val="16"/>
                <w:szCs w:val="16"/>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(15,039)</w:t>
            </w: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2560" w:type="dxa"/>
            <w:vAlign w:val="bottom"/>
          </w:tcPr>
          <w:p>
            <w:pPr>
              <w:spacing w:after="0"/>
              <w:rPr>
                <w:sz w:val="2"/>
                <w:szCs w:val="2"/>
                <w:color w:val="auto"/>
              </w:rPr>
            </w:pPr>
          </w:p>
        </w:tc>
        <w:tc>
          <w:tcPr>
            <w:tcW w:w="2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Borders>
              <w:bottom w:val="single" w:sz="8" w:color="CCEEFF"/>
            </w:tcBorders>
            <w:shd w:val="clear" w:color="auto" w:fill="CCEEFF"/>
          </w:tcPr>
          <w:p>
            <w:pPr>
              <w:spacing w:after="0"/>
              <w:rPr>
                <w:sz w:val="17"/>
                <w:szCs w:val="17"/>
                <w:color w:val="auto"/>
              </w:rPr>
            </w:pPr>
          </w:p>
        </w:tc>
        <w:tc>
          <w:tcPr>
            <w:tcW w:w="55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Impairment of operating real estate</w:t>
            </w:r>
          </w:p>
        </w:tc>
        <w:tc>
          <w:tcPr>
            <w:tcW w:w="120" w:type="dxa"/>
            <w:vAlign w:val="bottom"/>
            <w:tcBorders>
              <w:bottom w:val="single" w:sz="8" w:color="CCEEFF"/>
            </w:tcBorders>
            <w:shd w:val="clear" w:color="auto" w:fill="CCEEFF"/>
          </w:tcPr>
          <w:p>
            <w:pPr>
              <w:spacing w:after="0"/>
              <w:rPr>
                <w:sz w:val="17"/>
                <w:szCs w:val="17"/>
                <w:color w:val="auto"/>
              </w:rPr>
            </w:pPr>
          </w:p>
        </w:tc>
        <w:tc>
          <w:tcPr>
            <w:tcW w:w="13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(5,986)</w:t>
            </w:r>
          </w:p>
        </w:tc>
        <w:tc>
          <w:tcPr>
            <w:tcW w:w="100" w:type="dxa"/>
            <w:vAlign w:val="bottom"/>
            <w:tcBorders>
              <w:bottom w:val="single" w:sz="8" w:color="CCEEFF"/>
            </w:tcBorders>
            <w:shd w:val="clear" w:color="auto" w:fill="CCEEFF"/>
          </w:tcPr>
          <w:p>
            <w:pPr>
              <w:spacing w:after="0"/>
              <w:rPr>
                <w:sz w:val="17"/>
                <w:szCs w:val="17"/>
                <w:color w:val="auto"/>
              </w:rPr>
            </w:pPr>
          </w:p>
        </w:tc>
        <w:tc>
          <w:tcPr>
            <w:tcW w:w="46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Borders>
              <w:bottom w:val="single" w:sz="8" w:color="CCEEFF"/>
            </w:tcBorders>
            <w:shd w:val="clear" w:color="auto" w:fill="CCEEFF"/>
          </w:tcPr>
          <w:p>
            <w:pPr>
              <w:spacing w:after="0"/>
              <w:rPr>
                <w:sz w:val="17"/>
                <w:szCs w:val="17"/>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(5,986)</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55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Compensation and benefits</w:t>
            </w:r>
          </w:p>
        </w:tc>
        <w:tc>
          <w:tcPr>
            <w:tcW w:w="120" w:type="dxa"/>
            <w:vAlign w:val="bottom"/>
          </w:tcPr>
          <w:p>
            <w:pPr>
              <w:spacing w:after="0"/>
              <w:rPr>
                <w:sz w:val="16"/>
                <w:szCs w:val="16"/>
                <w:color w:val="auto"/>
              </w:rPr>
            </w:pP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(9,197)</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(9,197)</w:t>
            </w: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2560" w:type="dxa"/>
            <w:vAlign w:val="bottom"/>
          </w:tcPr>
          <w:p>
            <w:pPr>
              <w:spacing w:after="0"/>
              <w:rPr>
                <w:sz w:val="2"/>
                <w:szCs w:val="2"/>
                <w:color w:val="auto"/>
              </w:rPr>
            </w:pPr>
          </w:p>
        </w:tc>
        <w:tc>
          <w:tcPr>
            <w:tcW w:w="2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Borders>
              <w:bottom w:val="single" w:sz="8" w:color="CCEEFF"/>
            </w:tcBorders>
            <w:shd w:val="clear" w:color="auto" w:fill="CCEEFF"/>
          </w:tcPr>
          <w:p>
            <w:pPr>
              <w:spacing w:after="0"/>
              <w:rPr>
                <w:sz w:val="17"/>
                <w:szCs w:val="17"/>
                <w:color w:val="auto"/>
              </w:rPr>
            </w:pPr>
          </w:p>
        </w:tc>
        <w:tc>
          <w:tcPr>
            <w:tcW w:w="55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Operating expense</w:t>
            </w:r>
          </w:p>
        </w:tc>
        <w:tc>
          <w:tcPr>
            <w:tcW w:w="120" w:type="dxa"/>
            <w:vAlign w:val="bottom"/>
            <w:tcBorders>
              <w:bottom w:val="single" w:sz="8" w:color="CCEEFF"/>
            </w:tcBorders>
            <w:shd w:val="clear" w:color="auto" w:fill="CCEEFF"/>
          </w:tcPr>
          <w:p>
            <w:pPr>
              <w:spacing w:after="0"/>
              <w:rPr>
                <w:sz w:val="17"/>
                <w:szCs w:val="17"/>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3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(3,058)</w:t>
            </w:r>
          </w:p>
        </w:tc>
        <w:tc>
          <w:tcPr>
            <w:tcW w:w="10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(3,055)</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55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Other gain, net</w:t>
            </w:r>
          </w:p>
        </w:tc>
        <w:tc>
          <w:tcPr>
            <w:tcW w:w="120" w:type="dxa"/>
            <w:vAlign w:val="bottom"/>
          </w:tcPr>
          <w:p>
            <w:pPr>
              <w:spacing w:after="0"/>
              <w:rPr>
                <w:sz w:val="16"/>
                <w:szCs w:val="16"/>
                <w:color w:val="auto"/>
              </w:rPr>
            </w:pP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60,322</w:t>
            </w: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60,322</w:t>
            </w:r>
          </w:p>
        </w:tc>
        <w:tc>
          <w:tcPr>
            <w:tcW w:w="0" w:type="dxa"/>
            <w:vAlign w:val="bottom"/>
          </w:tcPr>
          <w:p>
            <w:pPr>
              <w:spacing w:after="0"/>
              <w:rPr>
                <w:sz w:val="1"/>
                <w:szCs w:val="1"/>
                <w:color w:val="auto"/>
              </w:rPr>
            </w:pPr>
          </w:p>
        </w:tc>
      </w:tr>
      <w:tr>
        <w:trPr>
          <w:trHeight w:val="23"/>
        </w:trPr>
        <w:tc>
          <w:tcPr>
            <w:tcW w:w="20" w:type="dxa"/>
            <w:vAlign w:val="bottom"/>
            <w:tcBorders>
              <w:bottom w:val="single" w:sz="8" w:color="CCEEFF"/>
            </w:tcBorders>
          </w:tcPr>
          <w:p>
            <w:pPr>
              <w:spacing w:after="0"/>
              <w:rPr>
                <w:sz w:val="2"/>
                <w:szCs w:val="2"/>
                <w:color w:val="auto"/>
              </w:rPr>
            </w:pPr>
          </w:p>
        </w:tc>
        <w:tc>
          <w:tcPr>
            <w:tcW w:w="2560" w:type="dxa"/>
            <w:vAlign w:val="bottom"/>
            <w:tcBorders>
              <w:bottom w:val="single" w:sz="8" w:color="CCEEFF"/>
            </w:tcBorders>
          </w:tcPr>
          <w:p>
            <w:pPr>
              <w:spacing w:after="0"/>
              <w:rPr>
                <w:sz w:val="2"/>
                <w:szCs w:val="2"/>
                <w:color w:val="auto"/>
              </w:rPr>
            </w:pPr>
          </w:p>
        </w:tc>
        <w:tc>
          <w:tcPr>
            <w:tcW w:w="29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20" w:type="dxa"/>
            <w:vAlign w:val="bottom"/>
            <w:tcBorders>
              <w:bottom w:val="single" w:sz="8" w:color="CCEEFF"/>
            </w:tcBorders>
            <w:shd w:val="clear" w:color="auto" w:fill="CCEEFF"/>
          </w:tcPr>
          <w:p>
            <w:pPr>
              <w:spacing w:after="0"/>
              <w:rPr>
                <w:sz w:val="18"/>
                <w:szCs w:val="18"/>
                <w:color w:val="auto"/>
              </w:rPr>
            </w:pPr>
          </w:p>
        </w:tc>
        <w:tc>
          <w:tcPr>
            <w:tcW w:w="55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Income (loss) before income taxes</w:t>
            </w:r>
          </w:p>
        </w:tc>
        <w:tc>
          <w:tcPr>
            <w:tcW w:w="120" w:type="dxa"/>
            <w:vAlign w:val="bottom"/>
            <w:tcBorders>
              <w:bottom w:val="single" w:sz="8" w:color="CCEEFF"/>
            </w:tcBorders>
            <w:shd w:val="clear" w:color="auto" w:fill="CCEEFF"/>
          </w:tcPr>
          <w:p>
            <w:pPr>
              <w:spacing w:after="0"/>
              <w:rPr>
                <w:sz w:val="18"/>
                <w:szCs w:val="18"/>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3,528</w:t>
            </w: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57,128</w:t>
            </w:r>
          </w:p>
        </w:tc>
        <w:tc>
          <w:tcPr>
            <w:tcW w:w="100" w:type="dxa"/>
            <w:vAlign w:val="bottom"/>
            <w:tcBorders>
              <w:bottom w:val="single" w:sz="8" w:color="CCEEFF"/>
            </w:tcBorders>
            <w:shd w:val="clear" w:color="auto" w:fill="CCEEFF"/>
          </w:tcPr>
          <w:p>
            <w:pPr>
              <w:spacing w:after="0"/>
              <w:rPr>
                <w:sz w:val="18"/>
                <w:szCs w:val="18"/>
                <w:color w:val="auto"/>
              </w:rPr>
            </w:pPr>
          </w:p>
        </w:tc>
        <w:tc>
          <w:tcPr>
            <w:tcW w:w="46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(13,441)</w:t>
            </w:r>
          </w:p>
        </w:tc>
        <w:tc>
          <w:tcPr>
            <w:tcW w:w="10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47,215</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55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Income tax benefit (expense)</w:t>
            </w:r>
          </w:p>
        </w:tc>
        <w:tc>
          <w:tcPr>
            <w:tcW w:w="120" w:type="dxa"/>
            <w:vAlign w:val="bottom"/>
            <w:tcBorders>
              <w:top w:val="single" w:sz="8" w:color="auto"/>
            </w:tcBorders>
          </w:tcPr>
          <w:p>
            <w:pPr>
              <w:spacing w:after="0"/>
              <w:rPr>
                <w:sz w:val="16"/>
                <w:szCs w:val="16"/>
                <w:color w:val="auto"/>
              </w:rPr>
            </w:pPr>
          </w:p>
        </w:tc>
        <w:tc>
          <w:tcPr>
            <w:tcW w:w="1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10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100" w:type="dxa"/>
            <w:vAlign w:val="bottom"/>
          </w:tcPr>
          <w:p>
            <w:pPr>
              <w:spacing w:after="0"/>
              <w:rPr>
                <w:sz w:val="16"/>
                <w:szCs w:val="16"/>
                <w:color w:val="auto"/>
              </w:rPr>
            </w:pPr>
          </w:p>
        </w:tc>
        <w:tc>
          <w:tcPr>
            <w:tcW w:w="46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27</w:t>
            </w:r>
          </w:p>
        </w:tc>
        <w:tc>
          <w:tcPr>
            <w:tcW w:w="100" w:type="dxa"/>
            <w:vAlign w:val="bottom"/>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w:t>
            </w:r>
          </w:p>
        </w:tc>
        <w:tc>
          <w:tcPr>
            <w:tcW w:w="0" w:type="dxa"/>
            <w:vAlign w:val="bottom"/>
          </w:tcPr>
          <w:p>
            <w:pPr>
              <w:spacing w:after="0"/>
              <w:rPr>
                <w:sz w:val="1"/>
                <w:szCs w:val="1"/>
                <w:color w:val="auto"/>
              </w:rPr>
            </w:pPr>
          </w:p>
        </w:tc>
      </w:tr>
      <w:tr>
        <w:trPr>
          <w:trHeight w:val="23"/>
        </w:trPr>
        <w:tc>
          <w:tcPr>
            <w:tcW w:w="20" w:type="dxa"/>
            <w:vAlign w:val="bottom"/>
            <w:tcBorders>
              <w:bottom w:val="single" w:sz="8" w:color="CCEEFF"/>
            </w:tcBorders>
          </w:tcPr>
          <w:p>
            <w:pPr>
              <w:spacing w:after="0"/>
              <w:rPr>
                <w:sz w:val="2"/>
                <w:szCs w:val="2"/>
                <w:color w:val="auto"/>
              </w:rPr>
            </w:pPr>
          </w:p>
        </w:tc>
        <w:tc>
          <w:tcPr>
            <w:tcW w:w="2560" w:type="dxa"/>
            <w:vAlign w:val="bottom"/>
            <w:tcBorders>
              <w:bottom w:val="single" w:sz="8" w:color="CCEEFF"/>
            </w:tcBorders>
          </w:tcPr>
          <w:p>
            <w:pPr>
              <w:spacing w:after="0"/>
              <w:rPr>
                <w:sz w:val="2"/>
                <w:szCs w:val="2"/>
                <w:color w:val="auto"/>
              </w:rPr>
            </w:pPr>
          </w:p>
        </w:tc>
        <w:tc>
          <w:tcPr>
            <w:tcW w:w="29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4"/>
        </w:trPr>
        <w:tc>
          <w:tcPr>
            <w:tcW w:w="20" w:type="dxa"/>
            <w:vAlign w:val="bottom"/>
            <w:tcBorders>
              <w:bottom w:val="single" w:sz="8" w:color="CCEEFF"/>
            </w:tcBorders>
            <w:shd w:val="clear" w:color="auto" w:fill="CCEEFF"/>
          </w:tcPr>
          <w:p>
            <w:pPr>
              <w:spacing w:after="0"/>
              <w:rPr>
                <w:sz w:val="19"/>
                <w:szCs w:val="19"/>
                <w:color w:val="auto"/>
              </w:rPr>
            </w:pPr>
          </w:p>
        </w:tc>
        <w:tc>
          <w:tcPr>
            <w:tcW w:w="55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Net income (loss)</w:t>
            </w:r>
          </w:p>
        </w:tc>
        <w:tc>
          <w:tcPr>
            <w:tcW w:w="1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3,524</w:t>
            </w:r>
          </w:p>
        </w:tc>
        <w:tc>
          <w:tcPr>
            <w:tcW w:w="1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57,124</w:t>
            </w:r>
          </w:p>
        </w:tc>
        <w:tc>
          <w:tcPr>
            <w:tcW w:w="100" w:type="dxa"/>
            <w:vAlign w:val="bottom"/>
            <w:tcBorders>
              <w:bottom w:val="single" w:sz="8" w:color="CCEEFF"/>
            </w:tcBorders>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(13,414)</w:t>
            </w:r>
          </w:p>
        </w:tc>
        <w:tc>
          <w:tcPr>
            <w:tcW w:w="1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47,234</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2560" w:type="dxa"/>
            <w:vAlign w:val="bottom"/>
            <w:tcBorders>
              <w:top w:val="single" w:sz="8" w:color="CCEEFF"/>
            </w:tcBorders>
          </w:tcPr>
          <w:p>
            <w:pPr>
              <w:spacing w:after="0" w:line="20" w:lineRule="exact"/>
              <w:rPr>
                <w:sz w:val="1"/>
                <w:szCs w:val="1"/>
                <w:color w:val="auto"/>
              </w:rPr>
            </w:pPr>
          </w:p>
        </w:tc>
        <w:tc>
          <w:tcPr>
            <w:tcW w:w="29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BRIGHTSPIRE CAPITAL,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32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2560" w:type="dxa"/>
            <w:vAlign w:val="bottom"/>
          </w:tcPr>
          <w:p>
            <w:pPr>
              <w:spacing w:after="0"/>
              <w:rPr>
                <w:sz w:val="13"/>
                <w:szCs w:val="13"/>
                <w:color w:val="auto"/>
              </w:rPr>
            </w:pPr>
          </w:p>
        </w:tc>
        <w:tc>
          <w:tcPr>
            <w:tcW w:w="29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Senior and</w:t>
            </w:r>
          </w:p>
        </w:tc>
        <w:tc>
          <w:tcPr>
            <w:tcW w:w="100" w:type="dxa"/>
            <w:vAlign w:val="bottom"/>
          </w:tcPr>
          <w:p>
            <w:pPr>
              <w:spacing w:after="0"/>
              <w:rPr>
                <w:sz w:val="13"/>
                <w:szCs w:val="13"/>
                <w:color w:val="auto"/>
              </w:rPr>
            </w:pPr>
          </w:p>
        </w:tc>
        <w:tc>
          <w:tcPr>
            <w:tcW w:w="134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Net Leased and</w:t>
            </w:r>
          </w:p>
        </w:tc>
        <w:tc>
          <w:tcPr>
            <w:tcW w:w="5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560" w:type="dxa"/>
            <w:vAlign w:val="bottom"/>
          </w:tcPr>
          <w:p>
            <w:pPr>
              <w:spacing w:after="0"/>
              <w:rPr>
                <w:sz w:val="12"/>
                <w:szCs w:val="12"/>
                <w:color w:val="auto"/>
              </w:rPr>
            </w:pPr>
          </w:p>
        </w:tc>
        <w:tc>
          <w:tcPr>
            <w:tcW w:w="2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4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Mezzanine Loans</w:t>
            </w:r>
          </w:p>
        </w:tc>
        <w:tc>
          <w:tcPr>
            <w:tcW w:w="100" w:type="dxa"/>
            <w:vAlign w:val="bottom"/>
          </w:tcPr>
          <w:p>
            <w:pPr>
              <w:spacing w:after="0"/>
              <w:rPr>
                <w:sz w:val="12"/>
                <w:szCs w:val="12"/>
                <w:color w:val="auto"/>
              </w:rPr>
            </w:pPr>
          </w:p>
        </w:tc>
        <w:tc>
          <w:tcPr>
            <w:tcW w:w="1340" w:type="dxa"/>
            <w:vAlign w:val="bottom"/>
            <w:gridSpan w:val="2"/>
            <w:vMerge w:val="continue"/>
          </w:tcPr>
          <w:p>
            <w:pPr>
              <w:spacing w:after="0"/>
              <w:rPr>
                <w:sz w:val="12"/>
                <w:szCs w:val="12"/>
                <w:color w:val="auto"/>
              </w:rPr>
            </w:pPr>
          </w:p>
        </w:tc>
        <w:tc>
          <w:tcPr>
            <w:tcW w:w="146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Corporate and Other</w:t>
            </w:r>
          </w:p>
        </w:tc>
        <w:tc>
          <w:tcPr>
            <w:tcW w:w="300" w:type="dxa"/>
            <w:vAlign w:val="bottom"/>
          </w:tcPr>
          <w:p>
            <w:pPr>
              <w:spacing w:after="0"/>
              <w:rPr>
                <w:sz w:val="12"/>
                <w:szCs w:val="12"/>
                <w:color w:val="auto"/>
              </w:rPr>
            </w:pPr>
          </w:p>
        </w:tc>
        <w:tc>
          <w:tcPr>
            <w:tcW w:w="1060" w:type="dxa"/>
            <w:vAlign w:val="bottom"/>
            <w:vMerge w:val="restart"/>
          </w:tcPr>
          <w:p>
            <w:pPr>
              <w:jc w:val="right"/>
              <w:ind w:right="44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560" w:type="dxa"/>
            <w:vAlign w:val="bottom"/>
          </w:tcPr>
          <w:p>
            <w:pPr>
              <w:spacing w:after="0"/>
              <w:rPr>
                <w:sz w:val="17"/>
                <w:szCs w:val="17"/>
                <w:color w:val="auto"/>
              </w:rPr>
            </w:pPr>
          </w:p>
        </w:tc>
        <w:tc>
          <w:tcPr>
            <w:tcW w:w="2940" w:type="dxa"/>
            <w:vAlign w:val="bottom"/>
          </w:tcPr>
          <w:p>
            <w:pPr>
              <w:spacing w:after="0"/>
              <w:rPr>
                <w:sz w:val="17"/>
                <w:szCs w:val="17"/>
                <w:color w:val="auto"/>
              </w:rPr>
            </w:pPr>
          </w:p>
        </w:tc>
        <w:tc>
          <w:tcPr>
            <w:tcW w:w="146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and Preferred Equity</w:t>
            </w:r>
          </w:p>
        </w:tc>
        <w:tc>
          <w:tcPr>
            <w:tcW w:w="100" w:type="dxa"/>
            <w:vAlign w:val="bottom"/>
          </w:tcPr>
          <w:p>
            <w:pPr>
              <w:spacing w:after="0"/>
              <w:rPr>
                <w:sz w:val="17"/>
                <w:szCs w:val="17"/>
                <w:color w:val="auto"/>
              </w:rPr>
            </w:pPr>
          </w:p>
        </w:tc>
        <w:tc>
          <w:tcPr>
            <w:tcW w:w="134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Other Real Estate</w:t>
            </w:r>
          </w:p>
        </w:tc>
        <w:tc>
          <w:tcPr>
            <w:tcW w:w="1460" w:type="dxa"/>
            <w:vAlign w:val="bottom"/>
            <w:gridSpan w:val="3"/>
            <w:vMerge w:val="continue"/>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50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Three Months Ended September 30, 2025</w:t>
            </w:r>
          </w:p>
        </w:tc>
        <w:tc>
          <w:tcPr>
            <w:tcW w:w="120" w:type="dxa"/>
            <w:vAlign w:val="bottom"/>
            <w:tcBorders>
              <w:top w:val="single" w:sz="8" w:color="auto"/>
            </w:tcBorders>
          </w:tcPr>
          <w:p>
            <w:pPr>
              <w:spacing w:after="0"/>
              <w:rPr>
                <w:sz w:val="12"/>
                <w:szCs w:val="12"/>
                <w:color w:val="auto"/>
              </w:rPr>
            </w:pPr>
          </w:p>
        </w:tc>
        <w:tc>
          <w:tcPr>
            <w:tcW w:w="12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2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106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2560" w:type="dxa"/>
            <w:vAlign w:val="bottom"/>
            <w:tcBorders>
              <w:top w:val="single" w:sz="8" w:color="auto"/>
            </w:tcBorders>
          </w:tcPr>
          <w:p>
            <w:pPr>
              <w:spacing w:after="0"/>
              <w:rPr>
                <w:sz w:val="2"/>
                <w:szCs w:val="2"/>
                <w:color w:val="auto"/>
              </w:rPr>
            </w:pPr>
          </w:p>
        </w:tc>
        <w:tc>
          <w:tcPr>
            <w:tcW w:w="2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Borders>
              <w:bottom w:val="single" w:sz="8" w:color="CCEEFF"/>
            </w:tcBorders>
            <w:shd w:val="clear" w:color="auto" w:fill="CCEEFF"/>
          </w:tcPr>
          <w:p>
            <w:pPr>
              <w:spacing w:after="0"/>
              <w:rPr>
                <w:sz w:val="17"/>
                <w:szCs w:val="17"/>
                <w:color w:val="auto"/>
              </w:rPr>
            </w:pPr>
          </w:p>
        </w:tc>
        <w:tc>
          <w:tcPr>
            <w:tcW w:w="55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Interest income</w:t>
            </w:r>
          </w:p>
        </w:tc>
        <w:tc>
          <w:tcPr>
            <w:tcW w:w="1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48,889</w:t>
            </w:r>
          </w:p>
        </w:tc>
        <w:tc>
          <w:tcPr>
            <w:tcW w:w="1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Borders>
              <w:bottom w:val="single" w:sz="8" w:color="CCEEFF"/>
            </w:tcBorders>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48,889</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55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Interest expense</w:t>
            </w:r>
          </w:p>
        </w:tc>
        <w:tc>
          <w:tcPr>
            <w:tcW w:w="12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(31,046)</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(307)</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(31,364)</w:t>
            </w: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2560" w:type="dxa"/>
            <w:vAlign w:val="bottom"/>
          </w:tcPr>
          <w:p>
            <w:pPr>
              <w:spacing w:after="0"/>
              <w:rPr>
                <w:sz w:val="2"/>
                <w:szCs w:val="2"/>
                <w:color w:val="auto"/>
              </w:rPr>
            </w:pPr>
          </w:p>
        </w:tc>
        <w:tc>
          <w:tcPr>
            <w:tcW w:w="2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Borders>
              <w:bottom w:val="single" w:sz="8" w:color="CCEEFF"/>
            </w:tcBorders>
            <w:shd w:val="clear" w:color="auto" w:fill="CCEEFF"/>
          </w:tcPr>
          <w:p>
            <w:pPr>
              <w:spacing w:after="0"/>
              <w:rPr>
                <w:sz w:val="17"/>
                <w:szCs w:val="17"/>
                <w:color w:val="auto"/>
              </w:rPr>
            </w:pPr>
          </w:p>
        </w:tc>
        <w:tc>
          <w:tcPr>
            <w:tcW w:w="55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Property and other income</w:t>
            </w:r>
          </w:p>
        </w:tc>
        <w:tc>
          <w:tcPr>
            <w:tcW w:w="120" w:type="dxa"/>
            <w:vAlign w:val="bottom"/>
            <w:tcBorders>
              <w:bottom w:val="single" w:sz="8" w:color="CCEEFF"/>
            </w:tcBorders>
            <w:shd w:val="clear" w:color="auto" w:fill="CCEEFF"/>
          </w:tcPr>
          <w:p>
            <w:pPr>
              <w:spacing w:after="0"/>
              <w:rPr>
                <w:sz w:val="17"/>
                <w:szCs w:val="17"/>
                <w:color w:val="auto"/>
              </w:rPr>
            </w:pPr>
          </w:p>
        </w:tc>
        <w:tc>
          <w:tcPr>
            <w:tcW w:w="13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32,748</w:t>
            </w:r>
          </w:p>
        </w:tc>
        <w:tc>
          <w:tcPr>
            <w:tcW w:w="100" w:type="dxa"/>
            <w:vAlign w:val="bottom"/>
            <w:tcBorders>
              <w:bottom w:val="single" w:sz="8" w:color="CCEEFF"/>
            </w:tcBorders>
            <w:shd w:val="clear" w:color="auto" w:fill="CCEEFF"/>
          </w:tcPr>
          <w:p>
            <w:pPr>
              <w:spacing w:after="0"/>
              <w:rPr>
                <w:sz w:val="17"/>
                <w:szCs w:val="17"/>
                <w:color w:val="auto"/>
              </w:rPr>
            </w:pPr>
          </w:p>
        </w:tc>
        <w:tc>
          <w:tcPr>
            <w:tcW w:w="50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2,301</w:t>
            </w:r>
          </w:p>
        </w:tc>
        <w:tc>
          <w:tcPr>
            <w:tcW w:w="10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35,049</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55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Property operating expense</w:t>
            </w:r>
          </w:p>
        </w:tc>
        <w:tc>
          <w:tcPr>
            <w:tcW w:w="120" w:type="dxa"/>
            <w:vAlign w:val="bottom"/>
          </w:tcPr>
          <w:p>
            <w:pPr>
              <w:spacing w:after="0"/>
              <w:rPr>
                <w:sz w:val="16"/>
                <w:szCs w:val="16"/>
                <w:color w:val="auto"/>
              </w:rPr>
            </w:pP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(19,675)</w:t>
            </w: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(19,675)</w:t>
            </w: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2560" w:type="dxa"/>
            <w:vAlign w:val="bottom"/>
          </w:tcPr>
          <w:p>
            <w:pPr>
              <w:spacing w:after="0"/>
              <w:rPr>
                <w:sz w:val="2"/>
                <w:szCs w:val="2"/>
                <w:color w:val="auto"/>
              </w:rPr>
            </w:pPr>
          </w:p>
        </w:tc>
        <w:tc>
          <w:tcPr>
            <w:tcW w:w="2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Borders>
              <w:bottom w:val="single" w:sz="8" w:color="CCEEFF"/>
            </w:tcBorders>
            <w:shd w:val="clear" w:color="auto" w:fill="CCEEFF"/>
          </w:tcPr>
          <w:p>
            <w:pPr>
              <w:spacing w:after="0"/>
              <w:rPr>
                <w:sz w:val="17"/>
                <w:szCs w:val="17"/>
                <w:color w:val="auto"/>
              </w:rPr>
            </w:pPr>
          </w:p>
        </w:tc>
        <w:tc>
          <w:tcPr>
            <w:tcW w:w="55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Transaction, investment and servicing expense</w:t>
            </w:r>
          </w:p>
        </w:tc>
        <w:tc>
          <w:tcPr>
            <w:tcW w:w="120" w:type="dxa"/>
            <w:vAlign w:val="bottom"/>
            <w:tcBorders>
              <w:bottom w:val="single" w:sz="8" w:color="CCEEFF"/>
            </w:tcBorders>
            <w:shd w:val="clear" w:color="auto" w:fill="CCEEFF"/>
          </w:tcPr>
          <w:p>
            <w:pPr>
              <w:spacing w:after="0"/>
              <w:rPr>
                <w:sz w:val="17"/>
                <w:szCs w:val="17"/>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(616)</w:t>
            </w:r>
          </w:p>
        </w:tc>
        <w:tc>
          <w:tcPr>
            <w:tcW w:w="1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w:t>
            </w:r>
          </w:p>
        </w:tc>
        <w:tc>
          <w:tcPr>
            <w:tcW w:w="100" w:type="dxa"/>
            <w:vAlign w:val="bottom"/>
            <w:tcBorders>
              <w:bottom w:val="single" w:sz="8" w:color="CCEEFF"/>
            </w:tcBorders>
            <w:shd w:val="clear" w:color="auto" w:fill="CCEEFF"/>
          </w:tcPr>
          <w:p>
            <w:pPr>
              <w:spacing w:after="0"/>
              <w:rPr>
                <w:sz w:val="17"/>
                <w:szCs w:val="17"/>
                <w:color w:val="auto"/>
              </w:rPr>
            </w:pPr>
          </w:p>
        </w:tc>
        <w:tc>
          <w:tcPr>
            <w:tcW w:w="50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(215)</w:t>
            </w:r>
          </w:p>
        </w:tc>
        <w:tc>
          <w:tcPr>
            <w:tcW w:w="10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(854)</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55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Interest expense on real estate</w:t>
            </w:r>
          </w:p>
        </w:tc>
        <w:tc>
          <w:tcPr>
            <w:tcW w:w="120" w:type="dxa"/>
            <w:vAlign w:val="bottom"/>
          </w:tcPr>
          <w:p>
            <w:pPr>
              <w:spacing w:after="0"/>
              <w:rPr>
                <w:sz w:val="16"/>
                <w:szCs w:val="16"/>
                <w:color w:val="auto"/>
              </w:rPr>
            </w:pP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(5,170)</w:t>
            </w: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(5,170)</w:t>
            </w: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2560" w:type="dxa"/>
            <w:vAlign w:val="bottom"/>
          </w:tcPr>
          <w:p>
            <w:pPr>
              <w:spacing w:after="0"/>
              <w:rPr>
                <w:sz w:val="2"/>
                <w:szCs w:val="2"/>
                <w:color w:val="auto"/>
              </w:rPr>
            </w:pPr>
          </w:p>
        </w:tc>
        <w:tc>
          <w:tcPr>
            <w:tcW w:w="2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Borders>
              <w:bottom w:val="single" w:sz="8" w:color="CCEEFF"/>
            </w:tcBorders>
            <w:shd w:val="clear" w:color="auto" w:fill="CCEEFF"/>
          </w:tcPr>
          <w:p>
            <w:pPr>
              <w:spacing w:after="0"/>
              <w:rPr>
                <w:sz w:val="17"/>
                <w:szCs w:val="17"/>
                <w:color w:val="auto"/>
              </w:rPr>
            </w:pPr>
          </w:p>
        </w:tc>
        <w:tc>
          <w:tcPr>
            <w:tcW w:w="55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120" w:type="dxa"/>
            <w:vAlign w:val="bottom"/>
            <w:tcBorders>
              <w:bottom w:val="single" w:sz="8" w:color="CCEEFF"/>
            </w:tcBorders>
            <w:shd w:val="clear" w:color="auto" w:fill="CCEEFF"/>
          </w:tcPr>
          <w:p>
            <w:pPr>
              <w:spacing w:after="0"/>
              <w:rPr>
                <w:sz w:val="17"/>
                <w:szCs w:val="17"/>
                <w:color w:val="auto"/>
              </w:rPr>
            </w:pPr>
          </w:p>
        </w:tc>
        <w:tc>
          <w:tcPr>
            <w:tcW w:w="13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(7,155)</w:t>
            </w:r>
          </w:p>
        </w:tc>
        <w:tc>
          <w:tcPr>
            <w:tcW w:w="100" w:type="dxa"/>
            <w:vAlign w:val="bottom"/>
            <w:tcBorders>
              <w:bottom w:val="single" w:sz="8" w:color="CCEEFF"/>
            </w:tcBorders>
            <w:shd w:val="clear" w:color="auto" w:fill="CCEEFF"/>
          </w:tcPr>
          <w:p>
            <w:pPr>
              <w:spacing w:after="0"/>
              <w:rPr>
                <w:sz w:val="17"/>
                <w:szCs w:val="17"/>
                <w:color w:val="auto"/>
              </w:rPr>
            </w:pPr>
          </w:p>
        </w:tc>
        <w:tc>
          <w:tcPr>
            <w:tcW w:w="50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w:t>
            </w:r>
          </w:p>
        </w:tc>
        <w:tc>
          <w:tcPr>
            <w:tcW w:w="10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(7,188)</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55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Increase of current expected credit loss reserve</w:t>
            </w:r>
          </w:p>
        </w:tc>
        <w:tc>
          <w:tcPr>
            <w:tcW w:w="12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(8,215)</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tcPr>
          <w:p>
            <w:pPr>
              <w:spacing w:after="0"/>
              <w:rPr>
                <w:sz w:val="16"/>
                <w:szCs w:val="16"/>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(8,215)</w:t>
            </w: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2560" w:type="dxa"/>
            <w:vAlign w:val="bottom"/>
          </w:tcPr>
          <w:p>
            <w:pPr>
              <w:spacing w:after="0"/>
              <w:rPr>
                <w:sz w:val="2"/>
                <w:szCs w:val="2"/>
                <w:color w:val="auto"/>
              </w:rPr>
            </w:pPr>
          </w:p>
        </w:tc>
        <w:tc>
          <w:tcPr>
            <w:tcW w:w="2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Borders>
              <w:bottom w:val="single" w:sz="8" w:color="CCEEFF"/>
            </w:tcBorders>
            <w:shd w:val="clear" w:color="auto" w:fill="CCEEFF"/>
          </w:tcPr>
          <w:p>
            <w:pPr>
              <w:spacing w:after="0"/>
              <w:rPr>
                <w:sz w:val="17"/>
                <w:szCs w:val="17"/>
                <w:color w:val="auto"/>
              </w:rPr>
            </w:pPr>
          </w:p>
        </w:tc>
        <w:tc>
          <w:tcPr>
            <w:tcW w:w="55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Impairment of operating real estate</w:t>
            </w:r>
          </w:p>
        </w:tc>
        <w:tc>
          <w:tcPr>
            <w:tcW w:w="120" w:type="dxa"/>
            <w:vAlign w:val="bottom"/>
            <w:tcBorders>
              <w:bottom w:val="single" w:sz="8" w:color="CCEEFF"/>
            </w:tcBorders>
            <w:shd w:val="clear" w:color="auto" w:fill="CCEEFF"/>
          </w:tcPr>
          <w:p>
            <w:pPr>
              <w:spacing w:after="0"/>
              <w:rPr>
                <w:sz w:val="17"/>
                <w:szCs w:val="17"/>
                <w:color w:val="auto"/>
              </w:rPr>
            </w:pPr>
          </w:p>
        </w:tc>
        <w:tc>
          <w:tcPr>
            <w:tcW w:w="13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(2,509)</w:t>
            </w:r>
          </w:p>
        </w:tc>
        <w:tc>
          <w:tcPr>
            <w:tcW w:w="100" w:type="dxa"/>
            <w:vAlign w:val="bottom"/>
            <w:tcBorders>
              <w:bottom w:val="single" w:sz="8" w:color="CCEEFF"/>
            </w:tcBorders>
            <w:shd w:val="clear" w:color="auto" w:fill="CCEEFF"/>
          </w:tcPr>
          <w:p>
            <w:pPr>
              <w:spacing w:after="0"/>
              <w:rPr>
                <w:sz w:val="17"/>
                <w:szCs w:val="17"/>
                <w:color w:val="auto"/>
              </w:rPr>
            </w:pPr>
          </w:p>
        </w:tc>
        <w:tc>
          <w:tcPr>
            <w:tcW w:w="50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Borders>
              <w:bottom w:val="single" w:sz="8" w:color="CCEEFF"/>
            </w:tcBorders>
            <w:shd w:val="clear" w:color="auto" w:fill="CCEEFF"/>
          </w:tcPr>
          <w:p>
            <w:pPr>
              <w:spacing w:after="0"/>
              <w:rPr>
                <w:sz w:val="17"/>
                <w:szCs w:val="17"/>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(2,509)</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55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Compensation and benefits</w:t>
            </w:r>
          </w:p>
        </w:tc>
        <w:tc>
          <w:tcPr>
            <w:tcW w:w="120" w:type="dxa"/>
            <w:vAlign w:val="bottom"/>
          </w:tcPr>
          <w:p>
            <w:pPr>
              <w:spacing w:after="0"/>
              <w:rPr>
                <w:sz w:val="16"/>
                <w:szCs w:val="16"/>
                <w:color w:val="auto"/>
              </w:rPr>
            </w:pP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(8,077)</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(8,077)</w:t>
            </w: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2560" w:type="dxa"/>
            <w:vAlign w:val="bottom"/>
          </w:tcPr>
          <w:p>
            <w:pPr>
              <w:spacing w:after="0"/>
              <w:rPr>
                <w:sz w:val="2"/>
                <w:szCs w:val="2"/>
                <w:color w:val="auto"/>
              </w:rPr>
            </w:pPr>
          </w:p>
        </w:tc>
        <w:tc>
          <w:tcPr>
            <w:tcW w:w="2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Borders>
              <w:bottom w:val="single" w:sz="8" w:color="CCEEFF"/>
            </w:tcBorders>
            <w:shd w:val="clear" w:color="auto" w:fill="CCEEFF"/>
          </w:tcPr>
          <w:p>
            <w:pPr>
              <w:spacing w:after="0"/>
              <w:rPr>
                <w:sz w:val="17"/>
                <w:szCs w:val="17"/>
                <w:color w:val="auto"/>
              </w:rPr>
            </w:pPr>
          </w:p>
        </w:tc>
        <w:tc>
          <w:tcPr>
            <w:tcW w:w="55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Operating expense</w:t>
            </w:r>
          </w:p>
        </w:tc>
        <w:tc>
          <w:tcPr>
            <w:tcW w:w="120" w:type="dxa"/>
            <w:vAlign w:val="bottom"/>
            <w:tcBorders>
              <w:bottom w:val="single" w:sz="8" w:color="CCEEFF"/>
            </w:tcBorders>
            <w:shd w:val="clear" w:color="auto" w:fill="CCEEFF"/>
          </w:tcPr>
          <w:p>
            <w:pPr>
              <w:spacing w:after="0"/>
              <w:rPr>
                <w:sz w:val="17"/>
                <w:szCs w:val="17"/>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1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Borders>
              <w:bottom w:val="single" w:sz="8" w:color="CCEEFF"/>
            </w:tcBorders>
            <w:shd w:val="clear" w:color="auto" w:fill="CCEEFF"/>
          </w:tcPr>
          <w:p>
            <w:pPr>
              <w:spacing w:after="0"/>
              <w:rPr>
                <w:sz w:val="17"/>
                <w:szCs w:val="17"/>
                <w:color w:val="auto"/>
              </w:rPr>
            </w:pPr>
          </w:p>
        </w:tc>
        <w:tc>
          <w:tcPr>
            <w:tcW w:w="50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(2,865)</w:t>
            </w:r>
          </w:p>
        </w:tc>
        <w:tc>
          <w:tcPr>
            <w:tcW w:w="10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(2,857)</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55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Other gain, net</w:t>
            </w:r>
          </w:p>
        </w:tc>
        <w:tc>
          <w:tcPr>
            <w:tcW w:w="120" w:type="dxa"/>
            <w:vAlign w:val="bottom"/>
          </w:tcPr>
          <w:p>
            <w:pPr>
              <w:spacing w:after="0"/>
              <w:rPr>
                <w:sz w:val="16"/>
                <w:szCs w:val="16"/>
                <w:color w:val="auto"/>
              </w:rPr>
            </w:pP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538</w:t>
            </w: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538</w:t>
            </w:r>
          </w:p>
        </w:tc>
        <w:tc>
          <w:tcPr>
            <w:tcW w:w="0" w:type="dxa"/>
            <w:vAlign w:val="bottom"/>
          </w:tcPr>
          <w:p>
            <w:pPr>
              <w:spacing w:after="0"/>
              <w:rPr>
                <w:sz w:val="1"/>
                <w:szCs w:val="1"/>
                <w:color w:val="auto"/>
              </w:rPr>
            </w:pPr>
          </w:p>
        </w:tc>
      </w:tr>
      <w:tr>
        <w:trPr>
          <w:trHeight w:val="23"/>
        </w:trPr>
        <w:tc>
          <w:tcPr>
            <w:tcW w:w="20" w:type="dxa"/>
            <w:vAlign w:val="bottom"/>
            <w:tcBorders>
              <w:bottom w:val="single" w:sz="8" w:color="CCEEFF"/>
            </w:tcBorders>
          </w:tcPr>
          <w:p>
            <w:pPr>
              <w:spacing w:after="0"/>
              <w:rPr>
                <w:sz w:val="2"/>
                <w:szCs w:val="2"/>
                <w:color w:val="auto"/>
              </w:rPr>
            </w:pPr>
          </w:p>
        </w:tc>
        <w:tc>
          <w:tcPr>
            <w:tcW w:w="2560" w:type="dxa"/>
            <w:vAlign w:val="bottom"/>
            <w:tcBorders>
              <w:bottom w:val="single" w:sz="8" w:color="CCEEFF"/>
            </w:tcBorders>
          </w:tcPr>
          <w:p>
            <w:pPr>
              <w:spacing w:after="0"/>
              <w:rPr>
                <w:sz w:val="2"/>
                <w:szCs w:val="2"/>
                <w:color w:val="auto"/>
              </w:rPr>
            </w:pPr>
          </w:p>
        </w:tc>
        <w:tc>
          <w:tcPr>
            <w:tcW w:w="29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20" w:type="dxa"/>
            <w:vAlign w:val="bottom"/>
            <w:tcBorders>
              <w:bottom w:val="single" w:sz="8" w:color="CCEEFF"/>
            </w:tcBorders>
            <w:shd w:val="clear" w:color="auto" w:fill="CCEEFF"/>
          </w:tcPr>
          <w:p>
            <w:pPr>
              <w:spacing w:after="0"/>
              <w:rPr>
                <w:sz w:val="18"/>
                <w:szCs w:val="18"/>
                <w:color w:val="auto"/>
              </w:rPr>
            </w:pPr>
          </w:p>
        </w:tc>
        <w:tc>
          <w:tcPr>
            <w:tcW w:w="55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Income (loss) before income taxes</w:t>
            </w:r>
          </w:p>
        </w:tc>
        <w:tc>
          <w:tcPr>
            <w:tcW w:w="120" w:type="dxa"/>
            <w:vAlign w:val="bottom"/>
            <w:tcBorders>
              <w:bottom w:val="single" w:sz="8" w:color="CCEEFF"/>
            </w:tcBorders>
            <w:shd w:val="clear" w:color="auto" w:fill="CCEEFF"/>
          </w:tcPr>
          <w:p>
            <w:pPr>
              <w:spacing w:after="0"/>
              <w:rPr>
                <w:sz w:val="18"/>
                <w:szCs w:val="18"/>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9,021</w:t>
            </w: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(1,258)</w:t>
            </w:r>
          </w:p>
        </w:tc>
        <w:tc>
          <w:tcPr>
            <w:tcW w:w="100" w:type="dxa"/>
            <w:vAlign w:val="bottom"/>
            <w:tcBorders>
              <w:bottom w:val="single" w:sz="8" w:color="CCEEFF"/>
            </w:tcBorders>
            <w:shd w:val="clear" w:color="auto" w:fill="CCEEFF"/>
          </w:tcPr>
          <w:p>
            <w:pPr>
              <w:spacing w:after="0"/>
              <w:rPr>
                <w:sz w:val="18"/>
                <w:szCs w:val="18"/>
                <w:color w:val="auto"/>
              </w:rPr>
            </w:pPr>
          </w:p>
        </w:tc>
        <w:tc>
          <w:tcPr>
            <w:tcW w:w="50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(9,196)</w:t>
            </w:r>
          </w:p>
        </w:tc>
        <w:tc>
          <w:tcPr>
            <w:tcW w:w="10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(1,433)</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55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Income tax benefit (expense)</w:t>
            </w:r>
          </w:p>
        </w:tc>
        <w:tc>
          <w:tcPr>
            <w:tcW w:w="120" w:type="dxa"/>
            <w:vAlign w:val="bottom"/>
            <w:tcBorders>
              <w:top w:val="single" w:sz="8" w:color="auto"/>
            </w:tcBorders>
          </w:tcPr>
          <w:p>
            <w:pPr>
              <w:spacing w:after="0"/>
              <w:rPr>
                <w:sz w:val="16"/>
                <w:szCs w:val="16"/>
                <w:color w:val="auto"/>
              </w:rPr>
            </w:pPr>
          </w:p>
        </w:tc>
        <w:tc>
          <w:tcPr>
            <w:tcW w:w="1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(86)</w:t>
            </w:r>
          </w:p>
        </w:tc>
        <w:tc>
          <w:tcPr>
            <w:tcW w:w="10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244</w:t>
            </w:r>
          </w:p>
        </w:tc>
        <w:tc>
          <w:tcPr>
            <w:tcW w:w="100" w:type="dxa"/>
            <w:vAlign w:val="bottom"/>
          </w:tcPr>
          <w:p>
            <w:pPr>
              <w:spacing w:after="0"/>
              <w:rPr>
                <w:sz w:val="16"/>
                <w:szCs w:val="16"/>
                <w:color w:val="auto"/>
              </w:rPr>
            </w:pPr>
          </w:p>
        </w:tc>
        <w:tc>
          <w:tcPr>
            <w:tcW w:w="500" w:type="dxa"/>
            <w:vAlign w:val="bottom"/>
            <w:tcBorders>
              <w:top w:val="single" w:sz="8" w:color="auto"/>
            </w:tcBorders>
          </w:tcPr>
          <w:p>
            <w:pPr>
              <w:spacing w:after="0"/>
              <w:rPr>
                <w:sz w:val="16"/>
                <w:szCs w:val="16"/>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(29)</w:t>
            </w:r>
          </w:p>
        </w:tc>
        <w:tc>
          <w:tcPr>
            <w:tcW w:w="100" w:type="dxa"/>
            <w:vAlign w:val="bottom"/>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129</w:t>
            </w:r>
          </w:p>
        </w:tc>
        <w:tc>
          <w:tcPr>
            <w:tcW w:w="0" w:type="dxa"/>
            <w:vAlign w:val="bottom"/>
          </w:tcPr>
          <w:p>
            <w:pPr>
              <w:spacing w:after="0"/>
              <w:rPr>
                <w:sz w:val="1"/>
                <w:szCs w:val="1"/>
                <w:color w:val="auto"/>
              </w:rPr>
            </w:pPr>
          </w:p>
        </w:tc>
      </w:tr>
      <w:tr>
        <w:trPr>
          <w:trHeight w:val="23"/>
        </w:trPr>
        <w:tc>
          <w:tcPr>
            <w:tcW w:w="20" w:type="dxa"/>
            <w:vAlign w:val="bottom"/>
            <w:tcBorders>
              <w:bottom w:val="single" w:sz="8" w:color="CCEEFF"/>
            </w:tcBorders>
          </w:tcPr>
          <w:p>
            <w:pPr>
              <w:spacing w:after="0"/>
              <w:rPr>
                <w:sz w:val="2"/>
                <w:szCs w:val="2"/>
                <w:color w:val="auto"/>
              </w:rPr>
            </w:pPr>
          </w:p>
        </w:tc>
        <w:tc>
          <w:tcPr>
            <w:tcW w:w="2560" w:type="dxa"/>
            <w:vAlign w:val="bottom"/>
            <w:tcBorders>
              <w:bottom w:val="single" w:sz="8" w:color="CCEEFF"/>
            </w:tcBorders>
          </w:tcPr>
          <w:p>
            <w:pPr>
              <w:spacing w:after="0"/>
              <w:rPr>
                <w:sz w:val="2"/>
                <w:szCs w:val="2"/>
                <w:color w:val="auto"/>
              </w:rPr>
            </w:pPr>
          </w:p>
        </w:tc>
        <w:tc>
          <w:tcPr>
            <w:tcW w:w="29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5"/>
        </w:trPr>
        <w:tc>
          <w:tcPr>
            <w:tcW w:w="20" w:type="dxa"/>
            <w:vAlign w:val="bottom"/>
            <w:tcBorders>
              <w:bottom w:val="single" w:sz="8" w:color="CCEEFF"/>
            </w:tcBorders>
            <w:shd w:val="clear" w:color="auto" w:fill="CCEEFF"/>
          </w:tcPr>
          <w:p>
            <w:pPr>
              <w:spacing w:after="0"/>
              <w:rPr>
                <w:sz w:val="19"/>
                <w:szCs w:val="19"/>
                <w:color w:val="auto"/>
              </w:rPr>
            </w:pPr>
          </w:p>
        </w:tc>
        <w:tc>
          <w:tcPr>
            <w:tcW w:w="55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Net income (loss)</w:t>
            </w:r>
          </w:p>
        </w:tc>
        <w:tc>
          <w:tcPr>
            <w:tcW w:w="1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8,935</w:t>
            </w:r>
          </w:p>
        </w:tc>
        <w:tc>
          <w:tcPr>
            <w:tcW w:w="1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(1,014)</w:t>
            </w:r>
          </w:p>
        </w:tc>
        <w:tc>
          <w:tcPr>
            <w:tcW w:w="100" w:type="dxa"/>
            <w:vAlign w:val="bottom"/>
            <w:tcBorders>
              <w:bottom w:val="single" w:sz="8" w:color="CCEEFF"/>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(9,225)</w:t>
            </w:r>
          </w:p>
        </w:tc>
        <w:tc>
          <w:tcPr>
            <w:tcW w:w="1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(1,304)</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2560" w:type="dxa"/>
            <w:vAlign w:val="bottom"/>
            <w:tcBorders>
              <w:top w:val="single" w:sz="8" w:color="CCEEFF"/>
            </w:tcBorders>
          </w:tcPr>
          <w:p>
            <w:pPr>
              <w:spacing w:after="0" w:line="20" w:lineRule="exact"/>
              <w:rPr>
                <w:sz w:val="1"/>
                <w:szCs w:val="1"/>
                <w:color w:val="auto"/>
              </w:rPr>
            </w:pPr>
          </w:p>
        </w:tc>
        <w:tc>
          <w:tcPr>
            <w:tcW w:w="29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2480" w:type="dxa"/>
            <w:vAlign w:val="bottom"/>
          </w:tcPr>
          <w:p>
            <w:pPr>
              <w:spacing w:after="0"/>
              <w:rPr>
                <w:sz w:val="13"/>
                <w:szCs w:val="13"/>
                <w:color w:val="auto"/>
              </w:rPr>
            </w:pPr>
          </w:p>
        </w:tc>
        <w:tc>
          <w:tcPr>
            <w:tcW w:w="30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Senior and</w:t>
            </w:r>
          </w:p>
        </w:tc>
        <w:tc>
          <w:tcPr>
            <w:tcW w:w="100" w:type="dxa"/>
            <w:vAlign w:val="bottom"/>
          </w:tcPr>
          <w:p>
            <w:pPr>
              <w:spacing w:after="0"/>
              <w:rPr>
                <w:sz w:val="13"/>
                <w:szCs w:val="13"/>
                <w:color w:val="auto"/>
              </w:rPr>
            </w:pPr>
          </w:p>
        </w:tc>
        <w:tc>
          <w:tcPr>
            <w:tcW w:w="134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Net Leased and</w:t>
            </w:r>
          </w:p>
        </w:tc>
        <w:tc>
          <w:tcPr>
            <w:tcW w:w="4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2480" w:type="dxa"/>
            <w:vAlign w:val="bottom"/>
          </w:tcPr>
          <w:p>
            <w:pPr>
              <w:spacing w:after="0"/>
              <w:rPr>
                <w:sz w:val="12"/>
                <w:szCs w:val="12"/>
                <w:color w:val="auto"/>
              </w:rPr>
            </w:pPr>
          </w:p>
        </w:tc>
        <w:tc>
          <w:tcPr>
            <w:tcW w:w="3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40" w:type="dxa"/>
            <w:vAlign w:val="bottom"/>
            <w:gridSpan w:val="2"/>
          </w:tcPr>
          <w:p>
            <w:pPr>
              <w:jc w:val="center"/>
              <w:ind w:right="220"/>
              <w:spacing w:after="0" w:line="146" w:lineRule="exact"/>
              <w:rPr>
                <w:sz w:val="20"/>
                <w:szCs w:val="20"/>
                <w:color w:val="auto"/>
              </w:rPr>
            </w:pPr>
            <w:r>
              <w:rPr>
                <w:rFonts w:ascii="Times New Roman" w:cs="Times New Roman" w:eastAsia="Times New Roman" w:hAnsi="Times New Roman"/>
                <w:sz w:val="14"/>
                <w:szCs w:val="14"/>
                <w:b w:val="1"/>
                <w:bCs w:val="1"/>
                <w:color w:val="auto"/>
              </w:rPr>
              <w:t>Mezzanine Loans</w:t>
            </w:r>
          </w:p>
        </w:tc>
        <w:tc>
          <w:tcPr>
            <w:tcW w:w="100" w:type="dxa"/>
            <w:vAlign w:val="bottom"/>
          </w:tcPr>
          <w:p>
            <w:pPr>
              <w:spacing w:after="0"/>
              <w:rPr>
                <w:sz w:val="12"/>
                <w:szCs w:val="12"/>
                <w:color w:val="auto"/>
              </w:rPr>
            </w:pPr>
          </w:p>
        </w:tc>
        <w:tc>
          <w:tcPr>
            <w:tcW w:w="1340" w:type="dxa"/>
            <w:vAlign w:val="bottom"/>
            <w:gridSpan w:val="2"/>
            <w:vMerge w:val="continue"/>
          </w:tcPr>
          <w:p>
            <w:pPr>
              <w:spacing w:after="0"/>
              <w:rPr>
                <w:sz w:val="12"/>
                <w:szCs w:val="12"/>
                <w:color w:val="auto"/>
              </w:rPr>
            </w:pPr>
          </w:p>
        </w:tc>
        <w:tc>
          <w:tcPr>
            <w:tcW w:w="146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Corporate and Other</w:t>
            </w:r>
          </w:p>
        </w:tc>
        <w:tc>
          <w:tcPr>
            <w:tcW w:w="300" w:type="dxa"/>
            <w:vAlign w:val="bottom"/>
          </w:tcPr>
          <w:p>
            <w:pPr>
              <w:spacing w:after="0"/>
              <w:rPr>
                <w:sz w:val="12"/>
                <w:szCs w:val="12"/>
                <w:color w:val="auto"/>
              </w:rPr>
            </w:pPr>
          </w:p>
        </w:tc>
        <w:tc>
          <w:tcPr>
            <w:tcW w:w="1060" w:type="dxa"/>
            <w:vAlign w:val="bottom"/>
            <w:vMerge w:val="restart"/>
          </w:tcPr>
          <w:p>
            <w:pPr>
              <w:jc w:val="right"/>
              <w:ind w:right="44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480" w:type="dxa"/>
            <w:vAlign w:val="bottom"/>
          </w:tcPr>
          <w:p>
            <w:pPr>
              <w:spacing w:after="0"/>
              <w:rPr>
                <w:sz w:val="17"/>
                <w:szCs w:val="17"/>
                <w:color w:val="auto"/>
              </w:rPr>
            </w:pPr>
          </w:p>
        </w:tc>
        <w:tc>
          <w:tcPr>
            <w:tcW w:w="3020" w:type="dxa"/>
            <w:vAlign w:val="bottom"/>
          </w:tcPr>
          <w:p>
            <w:pPr>
              <w:spacing w:after="0"/>
              <w:rPr>
                <w:sz w:val="17"/>
                <w:szCs w:val="17"/>
                <w:color w:val="auto"/>
              </w:rPr>
            </w:pPr>
          </w:p>
        </w:tc>
        <w:tc>
          <w:tcPr>
            <w:tcW w:w="146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and Preferred Equity</w:t>
            </w:r>
          </w:p>
        </w:tc>
        <w:tc>
          <w:tcPr>
            <w:tcW w:w="100" w:type="dxa"/>
            <w:vAlign w:val="bottom"/>
          </w:tcPr>
          <w:p>
            <w:pPr>
              <w:spacing w:after="0"/>
              <w:rPr>
                <w:sz w:val="17"/>
                <w:szCs w:val="17"/>
                <w:color w:val="auto"/>
              </w:rPr>
            </w:pPr>
          </w:p>
        </w:tc>
        <w:tc>
          <w:tcPr>
            <w:tcW w:w="134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Other Real Estate</w:t>
            </w:r>
          </w:p>
        </w:tc>
        <w:tc>
          <w:tcPr>
            <w:tcW w:w="1460" w:type="dxa"/>
            <w:vAlign w:val="bottom"/>
            <w:gridSpan w:val="3"/>
            <w:vMerge w:val="continue"/>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50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Nine Months Ended September 30, 2026</w:t>
            </w:r>
          </w:p>
        </w:tc>
        <w:tc>
          <w:tcPr>
            <w:tcW w:w="120" w:type="dxa"/>
            <w:vAlign w:val="bottom"/>
            <w:tcBorders>
              <w:top w:val="single" w:sz="8" w:color="auto"/>
            </w:tcBorders>
          </w:tcPr>
          <w:p>
            <w:pPr>
              <w:spacing w:after="0"/>
              <w:rPr>
                <w:sz w:val="12"/>
                <w:szCs w:val="12"/>
                <w:color w:val="auto"/>
              </w:rPr>
            </w:pPr>
          </w:p>
        </w:tc>
        <w:tc>
          <w:tcPr>
            <w:tcW w:w="12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2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106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2480" w:type="dxa"/>
            <w:vAlign w:val="bottom"/>
            <w:tcBorders>
              <w:top w:val="single" w:sz="8" w:color="auto"/>
            </w:tcBorders>
          </w:tcPr>
          <w:p>
            <w:pPr>
              <w:spacing w:after="0"/>
              <w:rPr>
                <w:sz w:val="2"/>
                <w:szCs w:val="2"/>
                <w:color w:val="auto"/>
              </w:rPr>
            </w:pPr>
          </w:p>
        </w:tc>
        <w:tc>
          <w:tcPr>
            <w:tcW w:w="3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Borders>
              <w:bottom w:val="single" w:sz="8" w:color="CCEEFF"/>
            </w:tcBorders>
            <w:shd w:val="clear" w:color="auto" w:fill="CCEEFF"/>
          </w:tcPr>
          <w:p>
            <w:pPr>
              <w:spacing w:after="0"/>
              <w:rPr>
                <w:sz w:val="17"/>
                <w:szCs w:val="17"/>
                <w:color w:val="auto"/>
              </w:rPr>
            </w:pPr>
          </w:p>
        </w:tc>
        <w:tc>
          <w:tcPr>
            <w:tcW w:w="55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Interest income</w:t>
            </w:r>
          </w:p>
        </w:tc>
        <w:tc>
          <w:tcPr>
            <w:tcW w:w="1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157,798</w:t>
            </w:r>
          </w:p>
        </w:tc>
        <w:tc>
          <w:tcPr>
            <w:tcW w:w="1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w:t>
            </w:r>
          </w:p>
        </w:tc>
        <w:tc>
          <w:tcPr>
            <w:tcW w:w="100" w:type="dxa"/>
            <w:vAlign w:val="bottom"/>
            <w:tcBorders>
              <w:bottom w:val="single" w:sz="8" w:color="CCEEFF"/>
            </w:tcBorders>
            <w:shd w:val="clear" w:color="auto" w:fill="CCEEFF"/>
          </w:tcPr>
          <w:p>
            <w:pPr>
              <w:spacing w:after="0"/>
              <w:rPr>
                <w:sz w:val="17"/>
                <w:szCs w:val="17"/>
                <w:color w:val="auto"/>
              </w:rPr>
            </w:pPr>
          </w:p>
        </w:tc>
        <w:tc>
          <w:tcPr>
            <w:tcW w:w="4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Borders>
              <w:bottom w:val="single" w:sz="8" w:color="CCEEFF"/>
            </w:tcBorders>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157,760</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55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Interest expense</w:t>
            </w:r>
          </w:p>
        </w:tc>
        <w:tc>
          <w:tcPr>
            <w:tcW w:w="12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(103,238)</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w:t>
            </w: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(2,871)</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(106,146)</w:t>
            </w: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2480" w:type="dxa"/>
            <w:vAlign w:val="bottom"/>
          </w:tcPr>
          <w:p>
            <w:pPr>
              <w:spacing w:after="0"/>
              <w:rPr>
                <w:sz w:val="2"/>
                <w:szCs w:val="2"/>
                <w:color w:val="auto"/>
              </w:rPr>
            </w:pPr>
          </w:p>
        </w:tc>
        <w:tc>
          <w:tcPr>
            <w:tcW w:w="3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Borders>
              <w:bottom w:val="single" w:sz="8" w:color="CCEEFF"/>
            </w:tcBorders>
            <w:shd w:val="clear" w:color="auto" w:fill="CCEEFF"/>
          </w:tcPr>
          <w:p>
            <w:pPr>
              <w:spacing w:after="0"/>
              <w:rPr>
                <w:sz w:val="17"/>
                <w:szCs w:val="17"/>
                <w:color w:val="auto"/>
              </w:rPr>
            </w:pPr>
          </w:p>
        </w:tc>
        <w:tc>
          <w:tcPr>
            <w:tcW w:w="55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Property and other income</w:t>
            </w:r>
          </w:p>
        </w:tc>
        <w:tc>
          <w:tcPr>
            <w:tcW w:w="120" w:type="dxa"/>
            <w:vAlign w:val="bottom"/>
            <w:tcBorders>
              <w:bottom w:val="single" w:sz="8" w:color="CCEEFF"/>
            </w:tcBorders>
            <w:shd w:val="clear" w:color="auto" w:fill="CCEEFF"/>
          </w:tcPr>
          <w:p>
            <w:pPr>
              <w:spacing w:after="0"/>
              <w:rPr>
                <w:sz w:val="17"/>
                <w:szCs w:val="17"/>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190</w:t>
            </w:r>
          </w:p>
        </w:tc>
        <w:tc>
          <w:tcPr>
            <w:tcW w:w="1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94,014</w:t>
            </w:r>
          </w:p>
        </w:tc>
        <w:tc>
          <w:tcPr>
            <w:tcW w:w="100" w:type="dxa"/>
            <w:vAlign w:val="bottom"/>
            <w:tcBorders>
              <w:bottom w:val="single" w:sz="8" w:color="CCEEFF"/>
            </w:tcBorders>
            <w:shd w:val="clear" w:color="auto" w:fill="CCEEFF"/>
          </w:tcPr>
          <w:p>
            <w:pPr>
              <w:spacing w:after="0"/>
              <w:rPr>
                <w:sz w:val="17"/>
                <w:szCs w:val="17"/>
                <w:color w:val="auto"/>
              </w:rPr>
            </w:pPr>
          </w:p>
        </w:tc>
        <w:tc>
          <w:tcPr>
            <w:tcW w:w="46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4,079</w:t>
            </w:r>
          </w:p>
        </w:tc>
        <w:tc>
          <w:tcPr>
            <w:tcW w:w="10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98,283</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55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Property operating expense</w:t>
            </w:r>
          </w:p>
        </w:tc>
        <w:tc>
          <w:tcPr>
            <w:tcW w:w="120" w:type="dxa"/>
            <w:vAlign w:val="bottom"/>
          </w:tcPr>
          <w:p>
            <w:pPr>
              <w:spacing w:after="0"/>
              <w:rPr>
                <w:sz w:val="16"/>
                <w:szCs w:val="16"/>
                <w:color w:val="auto"/>
              </w:rPr>
            </w:pP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(57,750)</w:t>
            </w: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(57,750)</w:t>
            </w: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2480" w:type="dxa"/>
            <w:vAlign w:val="bottom"/>
          </w:tcPr>
          <w:p>
            <w:pPr>
              <w:spacing w:after="0"/>
              <w:rPr>
                <w:sz w:val="2"/>
                <w:szCs w:val="2"/>
                <w:color w:val="auto"/>
              </w:rPr>
            </w:pPr>
          </w:p>
        </w:tc>
        <w:tc>
          <w:tcPr>
            <w:tcW w:w="3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Borders>
              <w:bottom w:val="single" w:sz="8" w:color="CCEEFF"/>
            </w:tcBorders>
            <w:shd w:val="clear" w:color="auto" w:fill="CCEEFF"/>
          </w:tcPr>
          <w:p>
            <w:pPr>
              <w:spacing w:after="0"/>
              <w:rPr>
                <w:sz w:val="17"/>
                <w:szCs w:val="17"/>
                <w:color w:val="auto"/>
              </w:rPr>
            </w:pPr>
          </w:p>
        </w:tc>
        <w:tc>
          <w:tcPr>
            <w:tcW w:w="55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Transaction, investment and servicing expense</w:t>
            </w:r>
          </w:p>
        </w:tc>
        <w:tc>
          <w:tcPr>
            <w:tcW w:w="120" w:type="dxa"/>
            <w:vAlign w:val="bottom"/>
            <w:tcBorders>
              <w:bottom w:val="single" w:sz="8" w:color="CCEEFF"/>
            </w:tcBorders>
            <w:shd w:val="clear" w:color="auto" w:fill="CCEEFF"/>
          </w:tcPr>
          <w:p>
            <w:pPr>
              <w:spacing w:after="0"/>
              <w:rPr>
                <w:sz w:val="17"/>
                <w:szCs w:val="17"/>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(2,912)</w:t>
            </w:r>
          </w:p>
        </w:tc>
        <w:tc>
          <w:tcPr>
            <w:tcW w:w="1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(162)</w:t>
            </w:r>
          </w:p>
        </w:tc>
        <w:tc>
          <w:tcPr>
            <w:tcW w:w="100" w:type="dxa"/>
            <w:vAlign w:val="bottom"/>
            <w:tcBorders>
              <w:bottom w:val="single" w:sz="8" w:color="CCEEFF"/>
            </w:tcBorders>
            <w:shd w:val="clear" w:color="auto" w:fill="CCEEFF"/>
          </w:tcPr>
          <w:p>
            <w:pPr>
              <w:spacing w:after="0"/>
              <w:rPr>
                <w:sz w:val="17"/>
                <w:szCs w:val="17"/>
                <w:color w:val="auto"/>
              </w:rPr>
            </w:pPr>
          </w:p>
        </w:tc>
        <w:tc>
          <w:tcPr>
            <w:tcW w:w="46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(645)</w:t>
            </w:r>
          </w:p>
        </w:tc>
        <w:tc>
          <w:tcPr>
            <w:tcW w:w="10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(3,719)</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55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Interest expense on real estate</w:t>
            </w:r>
          </w:p>
        </w:tc>
        <w:tc>
          <w:tcPr>
            <w:tcW w:w="120" w:type="dxa"/>
            <w:vAlign w:val="bottom"/>
          </w:tcPr>
          <w:p>
            <w:pPr>
              <w:spacing w:after="0"/>
              <w:rPr>
                <w:sz w:val="16"/>
                <w:szCs w:val="16"/>
                <w:color w:val="auto"/>
              </w:rPr>
            </w:pP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(14,868)</w:t>
            </w: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(14,868)</w:t>
            </w: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2480" w:type="dxa"/>
            <w:vAlign w:val="bottom"/>
          </w:tcPr>
          <w:p>
            <w:pPr>
              <w:spacing w:after="0"/>
              <w:rPr>
                <w:sz w:val="2"/>
                <w:szCs w:val="2"/>
                <w:color w:val="auto"/>
              </w:rPr>
            </w:pPr>
          </w:p>
        </w:tc>
        <w:tc>
          <w:tcPr>
            <w:tcW w:w="3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Borders>
              <w:bottom w:val="single" w:sz="8" w:color="CCEEFF"/>
            </w:tcBorders>
            <w:shd w:val="clear" w:color="auto" w:fill="CCEEFF"/>
          </w:tcPr>
          <w:p>
            <w:pPr>
              <w:spacing w:after="0"/>
              <w:rPr>
                <w:sz w:val="17"/>
                <w:szCs w:val="17"/>
                <w:color w:val="auto"/>
              </w:rPr>
            </w:pPr>
          </w:p>
        </w:tc>
        <w:tc>
          <w:tcPr>
            <w:tcW w:w="55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120" w:type="dxa"/>
            <w:vAlign w:val="bottom"/>
            <w:tcBorders>
              <w:bottom w:val="single" w:sz="8" w:color="CCEEFF"/>
            </w:tcBorders>
            <w:shd w:val="clear" w:color="auto" w:fill="CCEEFF"/>
          </w:tcPr>
          <w:p>
            <w:pPr>
              <w:spacing w:after="0"/>
              <w:rPr>
                <w:sz w:val="17"/>
                <w:szCs w:val="17"/>
                <w:color w:val="auto"/>
              </w:rPr>
            </w:pPr>
          </w:p>
        </w:tc>
        <w:tc>
          <w:tcPr>
            <w:tcW w:w="13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(20,799)</w:t>
            </w:r>
          </w:p>
        </w:tc>
        <w:tc>
          <w:tcPr>
            <w:tcW w:w="100" w:type="dxa"/>
            <w:vAlign w:val="bottom"/>
            <w:tcBorders>
              <w:bottom w:val="single" w:sz="8" w:color="CCEEFF"/>
            </w:tcBorders>
            <w:shd w:val="clear" w:color="auto" w:fill="CCEEFF"/>
          </w:tcPr>
          <w:p>
            <w:pPr>
              <w:spacing w:after="0"/>
              <w:rPr>
                <w:sz w:val="17"/>
                <w:szCs w:val="17"/>
                <w:color w:val="auto"/>
              </w:rPr>
            </w:pPr>
          </w:p>
        </w:tc>
        <w:tc>
          <w:tcPr>
            <w:tcW w:w="46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(98)</w:t>
            </w:r>
          </w:p>
        </w:tc>
        <w:tc>
          <w:tcPr>
            <w:tcW w:w="10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(20,897)</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55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Increase of current expected credit loss reserve</w:t>
            </w:r>
          </w:p>
        </w:tc>
        <w:tc>
          <w:tcPr>
            <w:tcW w:w="12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(30,286)</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tcPr>
          <w:p>
            <w:pPr>
              <w:spacing w:after="0"/>
              <w:rPr>
                <w:sz w:val="16"/>
                <w:szCs w:val="16"/>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(30,286)</w:t>
            </w: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2480" w:type="dxa"/>
            <w:vAlign w:val="bottom"/>
          </w:tcPr>
          <w:p>
            <w:pPr>
              <w:spacing w:after="0"/>
              <w:rPr>
                <w:sz w:val="2"/>
                <w:szCs w:val="2"/>
                <w:color w:val="auto"/>
              </w:rPr>
            </w:pPr>
          </w:p>
        </w:tc>
        <w:tc>
          <w:tcPr>
            <w:tcW w:w="3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Borders>
              <w:bottom w:val="single" w:sz="8" w:color="CCEEFF"/>
            </w:tcBorders>
            <w:shd w:val="clear" w:color="auto" w:fill="CCEEFF"/>
          </w:tcPr>
          <w:p>
            <w:pPr>
              <w:spacing w:after="0"/>
              <w:rPr>
                <w:sz w:val="17"/>
                <w:szCs w:val="17"/>
                <w:color w:val="auto"/>
              </w:rPr>
            </w:pPr>
          </w:p>
        </w:tc>
        <w:tc>
          <w:tcPr>
            <w:tcW w:w="55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Impairment of operating real estate</w:t>
            </w:r>
          </w:p>
        </w:tc>
        <w:tc>
          <w:tcPr>
            <w:tcW w:w="120" w:type="dxa"/>
            <w:vAlign w:val="bottom"/>
            <w:tcBorders>
              <w:bottom w:val="single" w:sz="8" w:color="CCEEFF"/>
            </w:tcBorders>
            <w:shd w:val="clear" w:color="auto" w:fill="CCEEFF"/>
          </w:tcPr>
          <w:p>
            <w:pPr>
              <w:spacing w:after="0"/>
              <w:rPr>
                <w:sz w:val="17"/>
                <w:szCs w:val="17"/>
                <w:color w:val="auto"/>
              </w:rPr>
            </w:pPr>
          </w:p>
        </w:tc>
        <w:tc>
          <w:tcPr>
            <w:tcW w:w="13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(15,256)</w:t>
            </w:r>
          </w:p>
        </w:tc>
        <w:tc>
          <w:tcPr>
            <w:tcW w:w="100" w:type="dxa"/>
            <w:vAlign w:val="bottom"/>
            <w:tcBorders>
              <w:bottom w:val="single" w:sz="8" w:color="CCEEFF"/>
            </w:tcBorders>
            <w:shd w:val="clear" w:color="auto" w:fill="CCEEFF"/>
          </w:tcPr>
          <w:p>
            <w:pPr>
              <w:spacing w:after="0"/>
              <w:rPr>
                <w:sz w:val="17"/>
                <w:szCs w:val="17"/>
                <w:color w:val="auto"/>
              </w:rPr>
            </w:pPr>
          </w:p>
        </w:tc>
        <w:tc>
          <w:tcPr>
            <w:tcW w:w="46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Borders>
              <w:bottom w:val="single" w:sz="8" w:color="CCEEFF"/>
            </w:tcBorders>
            <w:shd w:val="clear" w:color="auto" w:fill="CCEEFF"/>
          </w:tcPr>
          <w:p>
            <w:pPr>
              <w:spacing w:after="0"/>
              <w:rPr>
                <w:sz w:val="17"/>
                <w:szCs w:val="17"/>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(15,256)</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55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Compensation and benefits</w:t>
            </w:r>
          </w:p>
        </w:tc>
        <w:tc>
          <w:tcPr>
            <w:tcW w:w="120" w:type="dxa"/>
            <w:vAlign w:val="bottom"/>
          </w:tcPr>
          <w:p>
            <w:pPr>
              <w:spacing w:after="0"/>
              <w:rPr>
                <w:sz w:val="16"/>
                <w:szCs w:val="16"/>
                <w:color w:val="auto"/>
              </w:rPr>
            </w:pP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(27,242)</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(27,242)</w:t>
            </w: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2480" w:type="dxa"/>
            <w:vAlign w:val="bottom"/>
          </w:tcPr>
          <w:p>
            <w:pPr>
              <w:spacing w:after="0"/>
              <w:rPr>
                <w:sz w:val="2"/>
                <w:szCs w:val="2"/>
                <w:color w:val="auto"/>
              </w:rPr>
            </w:pPr>
          </w:p>
        </w:tc>
        <w:tc>
          <w:tcPr>
            <w:tcW w:w="3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Borders>
              <w:bottom w:val="single" w:sz="8" w:color="CCEEFF"/>
            </w:tcBorders>
            <w:shd w:val="clear" w:color="auto" w:fill="CCEEFF"/>
          </w:tcPr>
          <w:p>
            <w:pPr>
              <w:spacing w:after="0"/>
              <w:rPr>
                <w:sz w:val="17"/>
                <w:szCs w:val="17"/>
                <w:color w:val="auto"/>
              </w:rPr>
            </w:pPr>
          </w:p>
        </w:tc>
        <w:tc>
          <w:tcPr>
            <w:tcW w:w="55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Operating expense</w:t>
            </w:r>
          </w:p>
        </w:tc>
        <w:tc>
          <w:tcPr>
            <w:tcW w:w="120" w:type="dxa"/>
            <w:vAlign w:val="bottom"/>
            <w:tcBorders>
              <w:bottom w:val="single" w:sz="8" w:color="CCEEFF"/>
            </w:tcBorders>
            <w:shd w:val="clear" w:color="auto" w:fill="CCEEFF"/>
          </w:tcPr>
          <w:p>
            <w:pPr>
              <w:spacing w:after="0"/>
              <w:rPr>
                <w:sz w:val="17"/>
                <w:szCs w:val="17"/>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w:t>
            </w:r>
          </w:p>
        </w:tc>
        <w:tc>
          <w:tcPr>
            <w:tcW w:w="1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tcBorders>
              <w:bottom w:val="single" w:sz="8" w:color="CCEEFF"/>
            </w:tcBorders>
            <w:shd w:val="clear" w:color="auto" w:fill="CCEEFF"/>
          </w:tcPr>
          <w:p>
            <w:pPr>
              <w:spacing w:after="0"/>
              <w:rPr>
                <w:sz w:val="17"/>
                <w:szCs w:val="17"/>
                <w:color w:val="auto"/>
              </w:rPr>
            </w:pPr>
          </w:p>
        </w:tc>
        <w:tc>
          <w:tcPr>
            <w:tcW w:w="46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(9,339)</w:t>
            </w:r>
          </w:p>
        </w:tc>
        <w:tc>
          <w:tcPr>
            <w:tcW w:w="10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(9,308)</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55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Other gain, net</w:t>
            </w:r>
          </w:p>
        </w:tc>
        <w:tc>
          <w:tcPr>
            <w:tcW w:w="120" w:type="dxa"/>
            <w:vAlign w:val="bottom"/>
          </w:tcPr>
          <w:p>
            <w:pPr>
              <w:spacing w:after="0"/>
              <w:rPr>
                <w:sz w:val="16"/>
                <w:szCs w:val="16"/>
                <w:color w:val="auto"/>
              </w:rPr>
            </w:pP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60,291</w:t>
            </w: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60,291</w:t>
            </w:r>
          </w:p>
        </w:tc>
        <w:tc>
          <w:tcPr>
            <w:tcW w:w="0" w:type="dxa"/>
            <w:vAlign w:val="bottom"/>
          </w:tcPr>
          <w:p>
            <w:pPr>
              <w:spacing w:after="0"/>
              <w:rPr>
                <w:sz w:val="1"/>
                <w:szCs w:val="1"/>
                <w:color w:val="auto"/>
              </w:rPr>
            </w:pPr>
          </w:p>
        </w:tc>
      </w:tr>
      <w:tr>
        <w:trPr>
          <w:trHeight w:val="23"/>
        </w:trPr>
        <w:tc>
          <w:tcPr>
            <w:tcW w:w="20" w:type="dxa"/>
            <w:vAlign w:val="bottom"/>
            <w:tcBorders>
              <w:bottom w:val="single" w:sz="8" w:color="CCEEFF"/>
            </w:tcBorders>
          </w:tcPr>
          <w:p>
            <w:pPr>
              <w:spacing w:after="0"/>
              <w:rPr>
                <w:sz w:val="2"/>
                <w:szCs w:val="2"/>
                <w:color w:val="auto"/>
              </w:rPr>
            </w:pPr>
          </w:p>
        </w:tc>
        <w:tc>
          <w:tcPr>
            <w:tcW w:w="2480" w:type="dxa"/>
            <w:vAlign w:val="bottom"/>
            <w:tcBorders>
              <w:bottom w:val="single" w:sz="8" w:color="CCEEFF"/>
            </w:tcBorders>
          </w:tcPr>
          <w:p>
            <w:pPr>
              <w:spacing w:after="0"/>
              <w:rPr>
                <w:sz w:val="2"/>
                <w:szCs w:val="2"/>
                <w:color w:val="auto"/>
              </w:rPr>
            </w:pPr>
          </w:p>
        </w:tc>
        <w:tc>
          <w:tcPr>
            <w:tcW w:w="30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20" w:type="dxa"/>
            <w:vAlign w:val="bottom"/>
            <w:tcBorders>
              <w:bottom w:val="single" w:sz="8" w:color="CCEEFF"/>
            </w:tcBorders>
            <w:shd w:val="clear" w:color="auto" w:fill="CCEEFF"/>
          </w:tcPr>
          <w:p>
            <w:pPr>
              <w:spacing w:after="0"/>
              <w:rPr>
                <w:sz w:val="18"/>
                <w:szCs w:val="18"/>
                <w:color w:val="auto"/>
              </w:rPr>
            </w:pPr>
          </w:p>
        </w:tc>
        <w:tc>
          <w:tcPr>
            <w:tcW w:w="55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Income (loss) before equity in earnings of unconsolidated ventures and income taxes</w:t>
            </w:r>
          </w:p>
        </w:tc>
        <w:tc>
          <w:tcPr>
            <w:tcW w:w="120" w:type="dxa"/>
            <w:vAlign w:val="bottom"/>
            <w:tcBorders>
              <w:bottom w:val="single" w:sz="8" w:color="CCEEFF"/>
            </w:tcBorders>
            <w:shd w:val="clear" w:color="auto" w:fill="CCEEFF"/>
          </w:tcPr>
          <w:p>
            <w:pPr>
              <w:spacing w:after="0"/>
              <w:rPr>
                <w:sz w:val="18"/>
                <w:szCs w:val="18"/>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21,585</w:t>
            </w: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45,393</w:t>
            </w:r>
          </w:p>
        </w:tc>
        <w:tc>
          <w:tcPr>
            <w:tcW w:w="100" w:type="dxa"/>
            <w:vAlign w:val="bottom"/>
            <w:tcBorders>
              <w:bottom w:val="single" w:sz="8" w:color="CCEEFF"/>
            </w:tcBorders>
            <w:shd w:val="clear" w:color="auto" w:fill="CCEEFF"/>
          </w:tcPr>
          <w:p>
            <w:pPr>
              <w:spacing w:after="0"/>
              <w:rPr>
                <w:sz w:val="18"/>
                <w:szCs w:val="18"/>
                <w:color w:val="auto"/>
              </w:rPr>
            </w:pPr>
          </w:p>
        </w:tc>
        <w:tc>
          <w:tcPr>
            <w:tcW w:w="46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(36,116)</w:t>
            </w:r>
          </w:p>
        </w:tc>
        <w:tc>
          <w:tcPr>
            <w:tcW w:w="10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30,862</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55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Equity in earnings (loss) of unconsolidated ventures</w:t>
            </w:r>
          </w:p>
        </w:tc>
        <w:tc>
          <w:tcPr>
            <w:tcW w:w="120" w:type="dxa"/>
            <w:vAlign w:val="bottom"/>
            <w:tcBorders>
              <w:top w:val="single" w:sz="8" w:color="auto"/>
            </w:tcBorders>
          </w:tcPr>
          <w:p>
            <w:pPr>
              <w:spacing w:after="0"/>
              <w:rPr>
                <w:sz w:val="16"/>
                <w:szCs w:val="16"/>
                <w:color w:val="auto"/>
              </w:rPr>
            </w:pPr>
          </w:p>
        </w:tc>
        <w:tc>
          <w:tcPr>
            <w:tcW w:w="1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46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(602)</w:t>
            </w:r>
          </w:p>
        </w:tc>
        <w:tc>
          <w:tcPr>
            <w:tcW w:w="100" w:type="dxa"/>
            <w:vAlign w:val="bottom"/>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(602)</w:t>
            </w: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2480" w:type="dxa"/>
            <w:vAlign w:val="bottom"/>
          </w:tcPr>
          <w:p>
            <w:pPr>
              <w:spacing w:after="0"/>
              <w:rPr>
                <w:sz w:val="2"/>
                <w:szCs w:val="2"/>
                <w:color w:val="auto"/>
              </w:rPr>
            </w:pPr>
          </w:p>
        </w:tc>
        <w:tc>
          <w:tcPr>
            <w:tcW w:w="3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Borders>
              <w:bottom w:val="single" w:sz="8" w:color="CCEEFF"/>
            </w:tcBorders>
            <w:shd w:val="clear" w:color="auto" w:fill="CCEEFF"/>
          </w:tcPr>
          <w:p>
            <w:pPr>
              <w:spacing w:after="0"/>
              <w:rPr>
                <w:sz w:val="18"/>
                <w:szCs w:val="18"/>
                <w:color w:val="auto"/>
              </w:rPr>
            </w:pPr>
          </w:p>
        </w:tc>
        <w:tc>
          <w:tcPr>
            <w:tcW w:w="55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Income tax expense</w:t>
            </w:r>
          </w:p>
        </w:tc>
        <w:tc>
          <w:tcPr>
            <w:tcW w:w="120" w:type="dxa"/>
            <w:vAlign w:val="bottom"/>
            <w:tcBorders>
              <w:bottom w:val="single" w:sz="8" w:color="CCEEFF"/>
            </w:tcBorders>
            <w:shd w:val="clear" w:color="auto" w:fill="CCEEFF"/>
          </w:tcPr>
          <w:p>
            <w:pPr>
              <w:spacing w:after="0"/>
              <w:rPr>
                <w:sz w:val="18"/>
                <w:szCs w:val="18"/>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100" w:type="dxa"/>
            <w:vAlign w:val="bottom"/>
            <w:tcBorders>
              <w:bottom w:val="single" w:sz="8" w:color="CCEEFF"/>
            </w:tcBorders>
            <w:shd w:val="clear" w:color="auto" w:fill="CCEEFF"/>
          </w:tcPr>
          <w:p>
            <w:pPr>
              <w:spacing w:after="0"/>
              <w:rPr>
                <w:sz w:val="18"/>
                <w:szCs w:val="18"/>
                <w:color w:val="auto"/>
              </w:rPr>
            </w:pPr>
          </w:p>
        </w:tc>
        <w:tc>
          <w:tcPr>
            <w:tcW w:w="46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w:t>
            </w:r>
          </w:p>
        </w:tc>
        <w:tc>
          <w:tcPr>
            <w:tcW w:w="10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5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Net income (loss)</w:t>
            </w:r>
          </w:p>
        </w:tc>
        <w:tc>
          <w:tcPr>
            <w:tcW w:w="12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21,579</w:t>
            </w:r>
          </w:p>
        </w:tc>
        <w:tc>
          <w:tcPr>
            <w:tcW w:w="10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45,389</w:t>
            </w:r>
          </w:p>
        </w:tc>
        <w:tc>
          <w:tcPr>
            <w:tcW w:w="100" w:type="dxa"/>
            <w:vAlign w:val="bottom"/>
          </w:tcPr>
          <w:p>
            <w:pPr>
              <w:spacing w:after="0"/>
              <w:rPr>
                <w:sz w:val="18"/>
                <w:szCs w:val="18"/>
                <w:color w:val="auto"/>
              </w:rPr>
            </w:pPr>
          </w:p>
        </w:tc>
        <w:tc>
          <w:tcPr>
            <w:tcW w:w="46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(36,793)</w:t>
            </w:r>
          </w:p>
        </w:tc>
        <w:tc>
          <w:tcPr>
            <w:tcW w:w="100" w:type="dxa"/>
            <w:vAlign w:val="bottom"/>
          </w:tcPr>
          <w:p>
            <w:pPr>
              <w:spacing w:after="0"/>
              <w:rPr>
                <w:sz w:val="18"/>
                <w:szCs w:val="18"/>
                <w:color w:val="auto"/>
              </w:rPr>
            </w:pPr>
          </w:p>
        </w:tc>
        <w:tc>
          <w:tcPr>
            <w:tcW w:w="300" w:type="dxa"/>
            <w:vAlign w:val="bottom"/>
            <w:tcBorders>
              <w:top w:val="single" w:sz="8" w:color="auto"/>
              <w:bottom w:val="single" w:sz="8" w:color="auto"/>
            </w:tcBorders>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30,175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BRIGHTSPIRE CAPITAL,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32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2480" w:type="dxa"/>
            <w:vAlign w:val="bottom"/>
          </w:tcPr>
          <w:p>
            <w:pPr>
              <w:spacing w:after="0"/>
              <w:rPr>
                <w:sz w:val="13"/>
                <w:szCs w:val="13"/>
                <w:color w:val="auto"/>
              </w:rPr>
            </w:pPr>
          </w:p>
        </w:tc>
        <w:tc>
          <w:tcPr>
            <w:tcW w:w="30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Senior and</w:t>
            </w:r>
          </w:p>
        </w:tc>
        <w:tc>
          <w:tcPr>
            <w:tcW w:w="100" w:type="dxa"/>
            <w:vAlign w:val="bottom"/>
          </w:tcPr>
          <w:p>
            <w:pPr>
              <w:spacing w:after="0"/>
              <w:rPr>
                <w:sz w:val="13"/>
                <w:szCs w:val="13"/>
                <w:color w:val="auto"/>
              </w:rPr>
            </w:pPr>
          </w:p>
        </w:tc>
        <w:tc>
          <w:tcPr>
            <w:tcW w:w="134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Net Leased and</w:t>
            </w:r>
          </w:p>
        </w:tc>
        <w:tc>
          <w:tcPr>
            <w:tcW w:w="4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480" w:type="dxa"/>
            <w:vAlign w:val="bottom"/>
          </w:tcPr>
          <w:p>
            <w:pPr>
              <w:spacing w:after="0"/>
              <w:rPr>
                <w:sz w:val="12"/>
                <w:szCs w:val="12"/>
                <w:color w:val="auto"/>
              </w:rPr>
            </w:pPr>
          </w:p>
        </w:tc>
        <w:tc>
          <w:tcPr>
            <w:tcW w:w="3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4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Mezzanine Loans</w:t>
            </w:r>
          </w:p>
        </w:tc>
        <w:tc>
          <w:tcPr>
            <w:tcW w:w="100" w:type="dxa"/>
            <w:vAlign w:val="bottom"/>
          </w:tcPr>
          <w:p>
            <w:pPr>
              <w:spacing w:after="0"/>
              <w:rPr>
                <w:sz w:val="12"/>
                <w:szCs w:val="12"/>
                <w:color w:val="auto"/>
              </w:rPr>
            </w:pPr>
          </w:p>
        </w:tc>
        <w:tc>
          <w:tcPr>
            <w:tcW w:w="1340" w:type="dxa"/>
            <w:vAlign w:val="bottom"/>
            <w:gridSpan w:val="2"/>
            <w:vMerge w:val="continue"/>
          </w:tcPr>
          <w:p>
            <w:pPr>
              <w:spacing w:after="0"/>
              <w:rPr>
                <w:sz w:val="12"/>
                <w:szCs w:val="12"/>
                <w:color w:val="auto"/>
              </w:rPr>
            </w:pPr>
          </w:p>
        </w:tc>
        <w:tc>
          <w:tcPr>
            <w:tcW w:w="146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Corporate and Other</w:t>
            </w:r>
          </w:p>
        </w:tc>
        <w:tc>
          <w:tcPr>
            <w:tcW w:w="300" w:type="dxa"/>
            <w:vAlign w:val="bottom"/>
          </w:tcPr>
          <w:p>
            <w:pPr>
              <w:spacing w:after="0"/>
              <w:rPr>
                <w:sz w:val="12"/>
                <w:szCs w:val="12"/>
                <w:color w:val="auto"/>
              </w:rPr>
            </w:pPr>
          </w:p>
        </w:tc>
        <w:tc>
          <w:tcPr>
            <w:tcW w:w="1060" w:type="dxa"/>
            <w:vAlign w:val="bottom"/>
            <w:vMerge w:val="restart"/>
          </w:tcPr>
          <w:p>
            <w:pPr>
              <w:jc w:val="right"/>
              <w:ind w:right="44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480" w:type="dxa"/>
            <w:vAlign w:val="bottom"/>
          </w:tcPr>
          <w:p>
            <w:pPr>
              <w:spacing w:after="0"/>
              <w:rPr>
                <w:sz w:val="17"/>
                <w:szCs w:val="17"/>
                <w:color w:val="auto"/>
              </w:rPr>
            </w:pPr>
          </w:p>
        </w:tc>
        <w:tc>
          <w:tcPr>
            <w:tcW w:w="3020" w:type="dxa"/>
            <w:vAlign w:val="bottom"/>
          </w:tcPr>
          <w:p>
            <w:pPr>
              <w:spacing w:after="0"/>
              <w:rPr>
                <w:sz w:val="17"/>
                <w:szCs w:val="17"/>
                <w:color w:val="auto"/>
              </w:rPr>
            </w:pPr>
          </w:p>
        </w:tc>
        <w:tc>
          <w:tcPr>
            <w:tcW w:w="146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and Preferred Equity</w:t>
            </w:r>
          </w:p>
        </w:tc>
        <w:tc>
          <w:tcPr>
            <w:tcW w:w="100" w:type="dxa"/>
            <w:vAlign w:val="bottom"/>
          </w:tcPr>
          <w:p>
            <w:pPr>
              <w:spacing w:after="0"/>
              <w:rPr>
                <w:sz w:val="17"/>
                <w:szCs w:val="17"/>
                <w:color w:val="auto"/>
              </w:rPr>
            </w:pPr>
          </w:p>
        </w:tc>
        <w:tc>
          <w:tcPr>
            <w:tcW w:w="134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Other Real Estate</w:t>
            </w:r>
          </w:p>
        </w:tc>
        <w:tc>
          <w:tcPr>
            <w:tcW w:w="1460" w:type="dxa"/>
            <w:vAlign w:val="bottom"/>
            <w:gridSpan w:val="3"/>
            <w:vMerge w:val="continue"/>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50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Nine Months Ended September 30, 2025</w:t>
            </w:r>
          </w:p>
        </w:tc>
        <w:tc>
          <w:tcPr>
            <w:tcW w:w="120" w:type="dxa"/>
            <w:vAlign w:val="bottom"/>
            <w:tcBorders>
              <w:top w:val="single" w:sz="8" w:color="auto"/>
            </w:tcBorders>
          </w:tcPr>
          <w:p>
            <w:pPr>
              <w:spacing w:after="0"/>
              <w:rPr>
                <w:sz w:val="12"/>
                <w:szCs w:val="12"/>
                <w:color w:val="auto"/>
              </w:rPr>
            </w:pPr>
          </w:p>
        </w:tc>
        <w:tc>
          <w:tcPr>
            <w:tcW w:w="12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2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106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2480" w:type="dxa"/>
            <w:vAlign w:val="bottom"/>
            <w:tcBorders>
              <w:top w:val="single" w:sz="8" w:color="auto"/>
            </w:tcBorders>
          </w:tcPr>
          <w:p>
            <w:pPr>
              <w:spacing w:after="0"/>
              <w:rPr>
                <w:sz w:val="2"/>
                <w:szCs w:val="2"/>
                <w:color w:val="auto"/>
              </w:rPr>
            </w:pPr>
          </w:p>
        </w:tc>
        <w:tc>
          <w:tcPr>
            <w:tcW w:w="3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Borders>
              <w:bottom w:val="single" w:sz="8" w:color="CCEEFF"/>
            </w:tcBorders>
            <w:shd w:val="clear" w:color="auto" w:fill="CCEEFF"/>
          </w:tcPr>
          <w:p>
            <w:pPr>
              <w:spacing w:after="0"/>
              <w:rPr>
                <w:sz w:val="17"/>
                <w:szCs w:val="17"/>
                <w:color w:val="auto"/>
              </w:rPr>
            </w:pPr>
          </w:p>
        </w:tc>
        <w:tc>
          <w:tcPr>
            <w:tcW w:w="55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Interest income</w:t>
            </w:r>
          </w:p>
        </w:tc>
        <w:tc>
          <w:tcPr>
            <w:tcW w:w="1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145,461</w:t>
            </w:r>
          </w:p>
        </w:tc>
        <w:tc>
          <w:tcPr>
            <w:tcW w:w="1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w:t>
            </w:r>
          </w:p>
        </w:tc>
        <w:tc>
          <w:tcPr>
            <w:tcW w:w="100" w:type="dxa"/>
            <w:vAlign w:val="bottom"/>
            <w:tcBorders>
              <w:bottom w:val="single" w:sz="8" w:color="CCEEFF"/>
            </w:tcBorders>
            <w:shd w:val="clear" w:color="auto" w:fill="CCEEFF"/>
          </w:tcPr>
          <w:p>
            <w:pPr>
              <w:spacing w:after="0"/>
              <w:rPr>
                <w:sz w:val="17"/>
                <w:szCs w:val="17"/>
                <w:color w:val="auto"/>
              </w:rPr>
            </w:pPr>
          </w:p>
        </w:tc>
        <w:tc>
          <w:tcPr>
            <w:tcW w:w="4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135</w:t>
            </w:r>
          </w:p>
        </w:tc>
        <w:tc>
          <w:tcPr>
            <w:tcW w:w="10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145,638</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55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Interest expense</w:t>
            </w:r>
          </w:p>
        </w:tc>
        <w:tc>
          <w:tcPr>
            <w:tcW w:w="12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(94,453)</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(146)</w:t>
            </w: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(911)</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(95,510)</w:t>
            </w: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2480" w:type="dxa"/>
            <w:vAlign w:val="bottom"/>
          </w:tcPr>
          <w:p>
            <w:pPr>
              <w:spacing w:after="0"/>
              <w:rPr>
                <w:sz w:val="2"/>
                <w:szCs w:val="2"/>
                <w:color w:val="auto"/>
              </w:rPr>
            </w:pPr>
          </w:p>
        </w:tc>
        <w:tc>
          <w:tcPr>
            <w:tcW w:w="3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20" w:type="dxa"/>
            <w:vAlign w:val="bottom"/>
            <w:shd w:val="clear" w:color="auto" w:fill="CCEEFF"/>
          </w:tcPr>
          <w:p>
            <w:pPr>
              <w:spacing w:after="0"/>
              <w:rPr>
                <w:sz w:val="21"/>
                <w:szCs w:val="21"/>
                <w:color w:val="auto"/>
              </w:rPr>
            </w:pPr>
          </w:p>
        </w:tc>
        <w:tc>
          <w:tcPr>
            <w:tcW w:w="55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Property and other income</w:t>
            </w:r>
          </w:p>
        </w:tc>
        <w:tc>
          <w:tcPr>
            <w:tcW w:w="120" w:type="dxa"/>
            <w:vAlign w:val="bottom"/>
            <w:shd w:val="clear" w:color="auto" w:fill="CCEEFF"/>
          </w:tcPr>
          <w:p>
            <w:pPr>
              <w:spacing w:after="0"/>
              <w:rPr>
                <w:sz w:val="21"/>
                <w:szCs w:val="21"/>
                <w:color w:val="auto"/>
              </w:rPr>
            </w:pPr>
          </w:p>
        </w:tc>
        <w:tc>
          <w:tcPr>
            <w:tcW w:w="13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1"/>
                <w:szCs w:val="21"/>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95,423</w:t>
            </w:r>
          </w:p>
        </w:tc>
        <w:tc>
          <w:tcPr>
            <w:tcW w:w="10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6,364</w:t>
            </w: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101,787</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55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Property operating expense</w:t>
            </w:r>
          </w:p>
        </w:tc>
        <w:tc>
          <w:tcPr>
            <w:tcW w:w="120" w:type="dxa"/>
            <w:vAlign w:val="bottom"/>
          </w:tcPr>
          <w:p>
            <w:pPr>
              <w:spacing w:after="0"/>
              <w:rPr>
                <w:sz w:val="16"/>
                <w:szCs w:val="16"/>
                <w:color w:val="auto"/>
              </w:rPr>
            </w:pP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(46,293)</w:t>
            </w: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(46,293)</w:t>
            </w: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2480" w:type="dxa"/>
            <w:vAlign w:val="bottom"/>
          </w:tcPr>
          <w:p>
            <w:pPr>
              <w:spacing w:after="0"/>
              <w:rPr>
                <w:sz w:val="2"/>
                <w:szCs w:val="2"/>
                <w:color w:val="auto"/>
              </w:rPr>
            </w:pPr>
          </w:p>
        </w:tc>
        <w:tc>
          <w:tcPr>
            <w:tcW w:w="3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Borders>
              <w:bottom w:val="single" w:sz="8" w:color="CCEEFF"/>
            </w:tcBorders>
            <w:shd w:val="clear" w:color="auto" w:fill="CCEEFF"/>
          </w:tcPr>
          <w:p>
            <w:pPr>
              <w:spacing w:after="0"/>
              <w:rPr>
                <w:sz w:val="17"/>
                <w:szCs w:val="17"/>
                <w:color w:val="auto"/>
              </w:rPr>
            </w:pPr>
          </w:p>
        </w:tc>
        <w:tc>
          <w:tcPr>
            <w:tcW w:w="55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Transaction, investment and servicing expense</w:t>
            </w:r>
          </w:p>
        </w:tc>
        <w:tc>
          <w:tcPr>
            <w:tcW w:w="120" w:type="dxa"/>
            <w:vAlign w:val="bottom"/>
            <w:tcBorders>
              <w:bottom w:val="single" w:sz="8" w:color="CCEEFF"/>
            </w:tcBorders>
            <w:shd w:val="clear" w:color="auto" w:fill="CCEEFF"/>
          </w:tcPr>
          <w:p>
            <w:pPr>
              <w:spacing w:after="0"/>
              <w:rPr>
                <w:sz w:val="17"/>
                <w:szCs w:val="17"/>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(1,455)</w:t>
            </w:r>
          </w:p>
        </w:tc>
        <w:tc>
          <w:tcPr>
            <w:tcW w:w="1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(73)</w:t>
            </w:r>
          </w:p>
        </w:tc>
        <w:tc>
          <w:tcPr>
            <w:tcW w:w="100" w:type="dxa"/>
            <w:vAlign w:val="bottom"/>
            <w:tcBorders>
              <w:bottom w:val="single" w:sz="8" w:color="CCEEFF"/>
            </w:tcBorders>
            <w:shd w:val="clear" w:color="auto" w:fill="CCEEFF"/>
          </w:tcPr>
          <w:p>
            <w:pPr>
              <w:spacing w:after="0"/>
              <w:rPr>
                <w:sz w:val="17"/>
                <w:szCs w:val="17"/>
                <w:color w:val="auto"/>
              </w:rPr>
            </w:pPr>
          </w:p>
        </w:tc>
        <w:tc>
          <w:tcPr>
            <w:tcW w:w="46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(518)</w:t>
            </w:r>
          </w:p>
        </w:tc>
        <w:tc>
          <w:tcPr>
            <w:tcW w:w="10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(2,046)</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55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Interest expense on real estate</w:t>
            </w:r>
          </w:p>
        </w:tc>
        <w:tc>
          <w:tcPr>
            <w:tcW w:w="120" w:type="dxa"/>
            <w:vAlign w:val="bottom"/>
          </w:tcPr>
          <w:p>
            <w:pPr>
              <w:spacing w:after="0"/>
              <w:rPr>
                <w:sz w:val="16"/>
                <w:szCs w:val="16"/>
                <w:color w:val="auto"/>
              </w:rPr>
            </w:pP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(18,499)</w:t>
            </w: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(18,499)</w:t>
            </w: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2480" w:type="dxa"/>
            <w:vAlign w:val="bottom"/>
          </w:tcPr>
          <w:p>
            <w:pPr>
              <w:spacing w:after="0"/>
              <w:rPr>
                <w:sz w:val="2"/>
                <w:szCs w:val="2"/>
                <w:color w:val="auto"/>
              </w:rPr>
            </w:pPr>
          </w:p>
        </w:tc>
        <w:tc>
          <w:tcPr>
            <w:tcW w:w="3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Borders>
              <w:bottom w:val="single" w:sz="8" w:color="CCEEFF"/>
            </w:tcBorders>
            <w:shd w:val="clear" w:color="auto" w:fill="CCEEFF"/>
          </w:tcPr>
          <w:p>
            <w:pPr>
              <w:spacing w:after="0"/>
              <w:rPr>
                <w:sz w:val="17"/>
                <w:szCs w:val="17"/>
                <w:color w:val="auto"/>
              </w:rPr>
            </w:pPr>
          </w:p>
        </w:tc>
        <w:tc>
          <w:tcPr>
            <w:tcW w:w="55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120" w:type="dxa"/>
            <w:vAlign w:val="bottom"/>
            <w:tcBorders>
              <w:bottom w:val="single" w:sz="8" w:color="CCEEFF"/>
            </w:tcBorders>
            <w:shd w:val="clear" w:color="auto" w:fill="CCEEFF"/>
          </w:tcPr>
          <w:p>
            <w:pPr>
              <w:spacing w:after="0"/>
              <w:rPr>
                <w:sz w:val="17"/>
                <w:szCs w:val="17"/>
                <w:color w:val="auto"/>
              </w:rPr>
            </w:pPr>
          </w:p>
        </w:tc>
        <w:tc>
          <w:tcPr>
            <w:tcW w:w="13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(28,249)</w:t>
            </w:r>
          </w:p>
        </w:tc>
        <w:tc>
          <w:tcPr>
            <w:tcW w:w="100" w:type="dxa"/>
            <w:vAlign w:val="bottom"/>
            <w:tcBorders>
              <w:bottom w:val="single" w:sz="8" w:color="CCEEFF"/>
            </w:tcBorders>
            <w:shd w:val="clear" w:color="auto" w:fill="CCEEFF"/>
          </w:tcPr>
          <w:p>
            <w:pPr>
              <w:spacing w:after="0"/>
              <w:rPr>
                <w:sz w:val="17"/>
                <w:szCs w:val="17"/>
                <w:color w:val="auto"/>
              </w:rPr>
            </w:pPr>
          </w:p>
        </w:tc>
        <w:tc>
          <w:tcPr>
            <w:tcW w:w="46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(97)</w:t>
            </w:r>
          </w:p>
        </w:tc>
        <w:tc>
          <w:tcPr>
            <w:tcW w:w="10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(28,346)</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55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Increase of current expected credit loss reserve</w:t>
            </w:r>
          </w:p>
        </w:tc>
        <w:tc>
          <w:tcPr>
            <w:tcW w:w="12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(8,562)</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tcPr>
          <w:p>
            <w:pPr>
              <w:spacing w:after="0"/>
              <w:rPr>
                <w:sz w:val="16"/>
                <w:szCs w:val="16"/>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(8,562)</w:t>
            </w: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2480" w:type="dxa"/>
            <w:vAlign w:val="bottom"/>
          </w:tcPr>
          <w:p>
            <w:pPr>
              <w:spacing w:after="0"/>
              <w:rPr>
                <w:sz w:val="2"/>
                <w:szCs w:val="2"/>
                <w:color w:val="auto"/>
              </w:rPr>
            </w:pPr>
          </w:p>
        </w:tc>
        <w:tc>
          <w:tcPr>
            <w:tcW w:w="3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Borders>
              <w:bottom w:val="single" w:sz="8" w:color="CCEEFF"/>
            </w:tcBorders>
            <w:shd w:val="clear" w:color="auto" w:fill="CCEEFF"/>
          </w:tcPr>
          <w:p>
            <w:pPr>
              <w:spacing w:after="0"/>
              <w:rPr>
                <w:sz w:val="17"/>
                <w:szCs w:val="17"/>
                <w:color w:val="auto"/>
              </w:rPr>
            </w:pPr>
          </w:p>
        </w:tc>
        <w:tc>
          <w:tcPr>
            <w:tcW w:w="55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Impairment of operating real estate</w:t>
            </w:r>
          </w:p>
        </w:tc>
        <w:tc>
          <w:tcPr>
            <w:tcW w:w="120" w:type="dxa"/>
            <w:vAlign w:val="bottom"/>
            <w:tcBorders>
              <w:bottom w:val="single" w:sz="8" w:color="CCEEFF"/>
            </w:tcBorders>
            <w:shd w:val="clear" w:color="auto" w:fill="CCEEFF"/>
          </w:tcPr>
          <w:p>
            <w:pPr>
              <w:spacing w:after="0"/>
              <w:rPr>
                <w:sz w:val="17"/>
                <w:szCs w:val="17"/>
                <w:color w:val="auto"/>
              </w:rPr>
            </w:pPr>
          </w:p>
        </w:tc>
        <w:tc>
          <w:tcPr>
            <w:tcW w:w="13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(53,636)</w:t>
            </w:r>
          </w:p>
        </w:tc>
        <w:tc>
          <w:tcPr>
            <w:tcW w:w="100" w:type="dxa"/>
            <w:vAlign w:val="bottom"/>
            <w:tcBorders>
              <w:bottom w:val="single" w:sz="8" w:color="CCEEFF"/>
            </w:tcBorders>
            <w:shd w:val="clear" w:color="auto" w:fill="CCEEFF"/>
          </w:tcPr>
          <w:p>
            <w:pPr>
              <w:spacing w:after="0"/>
              <w:rPr>
                <w:sz w:val="17"/>
                <w:szCs w:val="17"/>
                <w:color w:val="auto"/>
              </w:rPr>
            </w:pPr>
          </w:p>
        </w:tc>
        <w:tc>
          <w:tcPr>
            <w:tcW w:w="46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Borders>
              <w:bottom w:val="single" w:sz="8" w:color="CCEEFF"/>
            </w:tcBorders>
            <w:shd w:val="clear" w:color="auto" w:fill="CCEEFF"/>
          </w:tcPr>
          <w:p>
            <w:pPr>
              <w:spacing w:after="0"/>
              <w:rPr>
                <w:sz w:val="17"/>
                <w:szCs w:val="17"/>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(53,636)</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55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Compensation and benefits</w:t>
            </w:r>
          </w:p>
        </w:tc>
        <w:tc>
          <w:tcPr>
            <w:tcW w:w="120" w:type="dxa"/>
            <w:vAlign w:val="bottom"/>
          </w:tcPr>
          <w:p>
            <w:pPr>
              <w:spacing w:after="0"/>
              <w:rPr>
                <w:sz w:val="16"/>
                <w:szCs w:val="16"/>
                <w:color w:val="auto"/>
              </w:rPr>
            </w:pP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(26,700)</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(26,700)</w:t>
            </w: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2480" w:type="dxa"/>
            <w:vAlign w:val="bottom"/>
          </w:tcPr>
          <w:p>
            <w:pPr>
              <w:spacing w:after="0"/>
              <w:rPr>
                <w:sz w:val="2"/>
                <w:szCs w:val="2"/>
                <w:color w:val="auto"/>
              </w:rPr>
            </w:pPr>
          </w:p>
        </w:tc>
        <w:tc>
          <w:tcPr>
            <w:tcW w:w="3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Borders>
              <w:bottom w:val="single" w:sz="8" w:color="CCEEFF"/>
            </w:tcBorders>
            <w:shd w:val="clear" w:color="auto" w:fill="CCEEFF"/>
          </w:tcPr>
          <w:p>
            <w:pPr>
              <w:spacing w:after="0"/>
              <w:rPr>
                <w:sz w:val="17"/>
                <w:szCs w:val="17"/>
                <w:color w:val="auto"/>
              </w:rPr>
            </w:pPr>
          </w:p>
        </w:tc>
        <w:tc>
          <w:tcPr>
            <w:tcW w:w="55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Operating expense</w:t>
            </w:r>
          </w:p>
        </w:tc>
        <w:tc>
          <w:tcPr>
            <w:tcW w:w="120" w:type="dxa"/>
            <w:vAlign w:val="bottom"/>
            <w:tcBorders>
              <w:bottom w:val="single" w:sz="8" w:color="CCEEFF"/>
            </w:tcBorders>
            <w:shd w:val="clear" w:color="auto" w:fill="CCEEFF"/>
          </w:tcPr>
          <w:p>
            <w:pPr>
              <w:spacing w:after="0"/>
              <w:rPr>
                <w:sz w:val="17"/>
                <w:szCs w:val="17"/>
                <w:color w:val="auto"/>
              </w:rPr>
            </w:pPr>
          </w:p>
        </w:tc>
        <w:tc>
          <w:tcPr>
            <w:tcW w:w="13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100" w:type="dxa"/>
            <w:vAlign w:val="bottom"/>
            <w:tcBorders>
              <w:bottom w:val="single" w:sz="8" w:color="CCEEFF"/>
            </w:tcBorders>
            <w:shd w:val="clear" w:color="auto" w:fill="CCEEFF"/>
          </w:tcPr>
          <w:p>
            <w:pPr>
              <w:spacing w:after="0"/>
              <w:rPr>
                <w:sz w:val="17"/>
                <w:szCs w:val="17"/>
                <w:color w:val="auto"/>
              </w:rPr>
            </w:pPr>
          </w:p>
        </w:tc>
        <w:tc>
          <w:tcPr>
            <w:tcW w:w="46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(9,044)</w:t>
            </w:r>
          </w:p>
        </w:tc>
        <w:tc>
          <w:tcPr>
            <w:tcW w:w="10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(9,048)</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55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Other gain (loss), net</w:t>
            </w:r>
          </w:p>
        </w:tc>
        <w:tc>
          <w:tcPr>
            <w:tcW w:w="12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(3,132)</w:t>
            </w: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(3,065)</w:t>
            </w:r>
          </w:p>
        </w:tc>
        <w:tc>
          <w:tcPr>
            <w:tcW w:w="0" w:type="dxa"/>
            <w:vAlign w:val="bottom"/>
          </w:tcPr>
          <w:p>
            <w:pPr>
              <w:spacing w:after="0"/>
              <w:rPr>
                <w:sz w:val="1"/>
                <w:szCs w:val="1"/>
                <w:color w:val="auto"/>
              </w:rPr>
            </w:pPr>
          </w:p>
        </w:tc>
      </w:tr>
      <w:tr>
        <w:trPr>
          <w:trHeight w:val="23"/>
        </w:trPr>
        <w:tc>
          <w:tcPr>
            <w:tcW w:w="20" w:type="dxa"/>
            <w:vAlign w:val="bottom"/>
            <w:tcBorders>
              <w:bottom w:val="single" w:sz="8" w:color="CCEEFF"/>
            </w:tcBorders>
          </w:tcPr>
          <w:p>
            <w:pPr>
              <w:spacing w:after="0"/>
              <w:rPr>
                <w:sz w:val="2"/>
                <w:szCs w:val="2"/>
                <w:color w:val="auto"/>
              </w:rPr>
            </w:pPr>
          </w:p>
        </w:tc>
        <w:tc>
          <w:tcPr>
            <w:tcW w:w="2480" w:type="dxa"/>
            <w:vAlign w:val="bottom"/>
            <w:tcBorders>
              <w:bottom w:val="single" w:sz="8" w:color="CCEEFF"/>
            </w:tcBorders>
          </w:tcPr>
          <w:p>
            <w:pPr>
              <w:spacing w:after="0"/>
              <w:rPr>
                <w:sz w:val="2"/>
                <w:szCs w:val="2"/>
                <w:color w:val="auto"/>
              </w:rPr>
            </w:pPr>
          </w:p>
        </w:tc>
        <w:tc>
          <w:tcPr>
            <w:tcW w:w="30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20" w:type="dxa"/>
            <w:vAlign w:val="bottom"/>
            <w:tcBorders>
              <w:bottom w:val="single" w:sz="8" w:color="CCEEFF"/>
            </w:tcBorders>
            <w:shd w:val="clear" w:color="auto" w:fill="CCEEFF"/>
          </w:tcPr>
          <w:p>
            <w:pPr>
              <w:spacing w:after="0"/>
              <w:rPr>
                <w:sz w:val="18"/>
                <w:szCs w:val="18"/>
                <w:color w:val="auto"/>
              </w:rPr>
            </w:pPr>
          </w:p>
        </w:tc>
        <w:tc>
          <w:tcPr>
            <w:tcW w:w="55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Income (loss) before income taxes</w:t>
            </w:r>
          </w:p>
        </w:tc>
        <w:tc>
          <w:tcPr>
            <w:tcW w:w="120" w:type="dxa"/>
            <w:vAlign w:val="bottom"/>
            <w:tcBorders>
              <w:bottom w:val="single" w:sz="8" w:color="CCEEFF"/>
            </w:tcBorders>
            <w:shd w:val="clear" w:color="auto" w:fill="CCEEFF"/>
          </w:tcPr>
          <w:p>
            <w:pPr>
              <w:spacing w:after="0"/>
              <w:rPr>
                <w:sz w:val="18"/>
                <w:szCs w:val="18"/>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41,046</w:t>
            </w: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(54,567)</w:t>
            </w:r>
          </w:p>
        </w:tc>
        <w:tc>
          <w:tcPr>
            <w:tcW w:w="100" w:type="dxa"/>
            <w:vAlign w:val="bottom"/>
            <w:tcBorders>
              <w:bottom w:val="single" w:sz="8" w:color="CCEEFF"/>
            </w:tcBorders>
            <w:shd w:val="clear" w:color="auto" w:fill="CCEEFF"/>
          </w:tcPr>
          <w:p>
            <w:pPr>
              <w:spacing w:after="0"/>
              <w:rPr>
                <w:sz w:val="18"/>
                <w:szCs w:val="18"/>
                <w:color w:val="auto"/>
              </w:rPr>
            </w:pPr>
          </w:p>
        </w:tc>
        <w:tc>
          <w:tcPr>
            <w:tcW w:w="46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(30,759)</w:t>
            </w:r>
          </w:p>
        </w:tc>
        <w:tc>
          <w:tcPr>
            <w:tcW w:w="10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(44,280)</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55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Income tax benefit (expense)</w:t>
            </w:r>
          </w:p>
        </w:tc>
        <w:tc>
          <w:tcPr>
            <w:tcW w:w="120" w:type="dxa"/>
            <w:vAlign w:val="bottom"/>
            <w:tcBorders>
              <w:top w:val="single" w:sz="8" w:color="auto"/>
            </w:tcBorders>
          </w:tcPr>
          <w:p>
            <w:pPr>
              <w:spacing w:after="0"/>
              <w:rPr>
                <w:sz w:val="16"/>
                <w:szCs w:val="16"/>
                <w:color w:val="auto"/>
              </w:rPr>
            </w:pPr>
          </w:p>
        </w:tc>
        <w:tc>
          <w:tcPr>
            <w:tcW w:w="1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(220)</w:t>
            </w:r>
          </w:p>
        </w:tc>
        <w:tc>
          <w:tcPr>
            <w:tcW w:w="10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21,760</w:t>
            </w:r>
          </w:p>
        </w:tc>
        <w:tc>
          <w:tcPr>
            <w:tcW w:w="100" w:type="dxa"/>
            <w:vAlign w:val="bottom"/>
          </w:tcPr>
          <w:p>
            <w:pPr>
              <w:spacing w:after="0"/>
              <w:rPr>
                <w:sz w:val="16"/>
                <w:szCs w:val="16"/>
                <w:color w:val="auto"/>
              </w:rPr>
            </w:pPr>
          </w:p>
        </w:tc>
        <w:tc>
          <w:tcPr>
            <w:tcW w:w="46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(29)</w:t>
            </w:r>
          </w:p>
        </w:tc>
        <w:tc>
          <w:tcPr>
            <w:tcW w:w="100" w:type="dxa"/>
            <w:vAlign w:val="bottom"/>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21,511</w:t>
            </w:r>
          </w:p>
        </w:tc>
        <w:tc>
          <w:tcPr>
            <w:tcW w:w="0" w:type="dxa"/>
            <w:vAlign w:val="bottom"/>
          </w:tcPr>
          <w:p>
            <w:pPr>
              <w:spacing w:after="0"/>
              <w:rPr>
                <w:sz w:val="1"/>
                <w:szCs w:val="1"/>
                <w:color w:val="auto"/>
              </w:rPr>
            </w:pPr>
          </w:p>
        </w:tc>
      </w:tr>
      <w:tr>
        <w:trPr>
          <w:trHeight w:val="23"/>
        </w:trPr>
        <w:tc>
          <w:tcPr>
            <w:tcW w:w="20" w:type="dxa"/>
            <w:vAlign w:val="bottom"/>
            <w:tcBorders>
              <w:bottom w:val="single" w:sz="8" w:color="CCEEFF"/>
            </w:tcBorders>
          </w:tcPr>
          <w:p>
            <w:pPr>
              <w:spacing w:after="0"/>
              <w:rPr>
                <w:sz w:val="2"/>
                <w:szCs w:val="2"/>
                <w:color w:val="auto"/>
              </w:rPr>
            </w:pPr>
          </w:p>
        </w:tc>
        <w:tc>
          <w:tcPr>
            <w:tcW w:w="2480" w:type="dxa"/>
            <w:vAlign w:val="bottom"/>
            <w:tcBorders>
              <w:bottom w:val="single" w:sz="8" w:color="CCEEFF"/>
            </w:tcBorders>
          </w:tcPr>
          <w:p>
            <w:pPr>
              <w:spacing w:after="0"/>
              <w:rPr>
                <w:sz w:val="2"/>
                <w:szCs w:val="2"/>
                <w:color w:val="auto"/>
              </w:rPr>
            </w:pPr>
          </w:p>
        </w:tc>
        <w:tc>
          <w:tcPr>
            <w:tcW w:w="30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4"/>
        </w:trPr>
        <w:tc>
          <w:tcPr>
            <w:tcW w:w="20" w:type="dxa"/>
            <w:vAlign w:val="bottom"/>
            <w:tcBorders>
              <w:bottom w:val="single" w:sz="8" w:color="CCEEFF"/>
            </w:tcBorders>
            <w:shd w:val="clear" w:color="auto" w:fill="CCEEFF"/>
          </w:tcPr>
          <w:p>
            <w:pPr>
              <w:spacing w:after="0"/>
              <w:rPr>
                <w:sz w:val="19"/>
                <w:szCs w:val="19"/>
                <w:color w:val="auto"/>
              </w:rPr>
            </w:pPr>
          </w:p>
        </w:tc>
        <w:tc>
          <w:tcPr>
            <w:tcW w:w="55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Net income (loss)</w:t>
            </w:r>
          </w:p>
        </w:tc>
        <w:tc>
          <w:tcPr>
            <w:tcW w:w="1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40,826</w:t>
            </w:r>
          </w:p>
        </w:tc>
        <w:tc>
          <w:tcPr>
            <w:tcW w:w="1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(32,807)</w:t>
            </w:r>
          </w:p>
        </w:tc>
        <w:tc>
          <w:tcPr>
            <w:tcW w:w="100" w:type="dxa"/>
            <w:vAlign w:val="bottom"/>
            <w:tcBorders>
              <w:bottom w:val="single" w:sz="8" w:color="CCEEFF"/>
            </w:tcBorders>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(30,787)</w:t>
            </w:r>
          </w:p>
        </w:tc>
        <w:tc>
          <w:tcPr>
            <w:tcW w:w="1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(22,769)</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2480" w:type="dxa"/>
            <w:vAlign w:val="bottom"/>
            <w:tcBorders>
              <w:top w:val="single" w:sz="8" w:color="CCEEFF"/>
            </w:tcBorders>
          </w:tcPr>
          <w:p>
            <w:pPr>
              <w:spacing w:after="0" w:line="20" w:lineRule="exact"/>
              <w:rPr>
                <w:sz w:val="1"/>
                <w:szCs w:val="1"/>
                <w:color w:val="auto"/>
              </w:rPr>
            </w:pPr>
          </w:p>
        </w:tc>
        <w:tc>
          <w:tcPr>
            <w:tcW w:w="30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total assets by segment as of September 30, 2026 and December 31, 2025 (dollars in thousands):</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5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Senior and</w:t>
            </w:r>
          </w:p>
        </w:tc>
        <w:tc>
          <w:tcPr>
            <w:tcW w:w="100" w:type="dxa"/>
            <w:vAlign w:val="bottom"/>
          </w:tcPr>
          <w:p>
            <w:pPr>
              <w:spacing w:after="0"/>
              <w:rPr>
                <w:sz w:val="13"/>
                <w:szCs w:val="13"/>
                <w:color w:val="auto"/>
              </w:rPr>
            </w:pPr>
          </w:p>
        </w:tc>
        <w:tc>
          <w:tcPr>
            <w:tcW w:w="134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Net Leased and</w:t>
            </w:r>
          </w:p>
        </w:tc>
        <w:tc>
          <w:tcPr>
            <w:tcW w:w="160" w:type="dxa"/>
            <w:vAlign w:val="bottom"/>
          </w:tcPr>
          <w:p>
            <w:pPr>
              <w:spacing w:after="0"/>
              <w:rPr>
                <w:sz w:val="13"/>
                <w:szCs w:val="13"/>
                <w:color w:val="auto"/>
              </w:rPr>
            </w:pPr>
          </w:p>
        </w:tc>
        <w:tc>
          <w:tcPr>
            <w:tcW w:w="130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Corporate and</w:t>
            </w:r>
          </w:p>
        </w:tc>
        <w:tc>
          <w:tcPr>
            <w:tcW w:w="3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6"/>
        </w:trPr>
        <w:tc>
          <w:tcPr>
            <w:tcW w:w="552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Total Assets</w:t>
            </w:r>
          </w:p>
        </w:tc>
        <w:tc>
          <w:tcPr>
            <w:tcW w:w="120" w:type="dxa"/>
            <w:vAlign w:val="bottom"/>
          </w:tcPr>
          <w:p>
            <w:pPr>
              <w:spacing w:after="0"/>
              <w:rPr>
                <w:sz w:val="12"/>
                <w:szCs w:val="12"/>
                <w:color w:val="auto"/>
              </w:rPr>
            </w:pPr>
          </w:p>
        </w:tc>
        <w:tc>
          <w:tcPr>
            <w:tcW w:w="1340" w:type="dxa"/>
            <w:vAlign w:val="bottom"/>
            <w:gridSpan w:val="2"/>
          </w:tcPr>
          <w:p>
            <w:pPr>
              <w:jc w:val="center"/>
              <w:ind w:right="220"/>
              <w:spacing w:after="0" w:line="146" w:lineRule="exact"/>
              <w:rPr>
                <w:sz w:val="20"/>
                <w:szCs w:val="20"/>
                <w:color w:val="auto"/>
              </w:rPr>
            </w:pPr>
            <w:r>
              <w:rPr>
                <w:rFonts w:ascii="Times New Roman" w:cs="Times New Roman" w:eastAsia="Times New Roman" w:hAnsi="Times New Roman"/>
                <w:sz w:val="14"/>
                <w:szCs w:val="14"/>
                <w:b w:val="1"/>
                <w:bCs w:val="1"/>
                <w:color w:val="auto"/>
              </w:rPr>
              <w:t>Mezzanine Loans</w:t>
            </w:r>
          </w:p>
        </w:tc>
        <w:tc>
          <w:tcPr>
            <w:tcW w:w="100" w:type="dxa"/>
            <w:vAlign w:val="bottom"/>
          </w:tcPr>
          <w:p>
            <w:pPr>
              <w:spacing w:after="0"/>
              <w:rPr>
                <w:sz w:val="12"/>
                <w:szCs w:val="12"/>
                <w:color w:val="auto"/>
              </w:rPr>
            </w:pPr>
          </w:p>
        </w:tc>
        <w:tc>
          <w:tcPr>
            <w:tcW w:w="134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300" w:type="dxa"/>
            <w:vAlign w:val="bottom"/>
            <w:gridSpan w:val="2"/>
            <w:vMerge w:val="continue"/>
          </w:tcPr>
          <w:p>
            <w:pPr>
              <w:spacing w:after="0"/>
              <w:rPr>
                <w:sz w:val="12"/>
                <w:szCs w:val="12"/>
                <w:color w:val="auto"/>
              </w:rPr>
            </w:pPr>
          </w:p>
        </w:tc>
        <w:tc>
          <w:tcPr>
            <w:tcW w:w="300" w:type="dxa"/>
            <w:vAlign w:val="bottom"/>
          </w:tcPr>
          <w:p>
            <w:pPr>
              <w:spacing w:after="0"/>
              <w:rPr>
                <w:sz w:val="12"/>
                <w:szCs w:val="12"/>
                <w:color w:val="auto"/>
              </w:rPr>
            </w:pPr>
          </w:p>
        </w:tc>
        <w:tc>
          <w:tcPr>
            <w:tcW w:w="1060" w:type="dxa"/>
            <w:vAlign w:val="bottom"/>
            <w:vMerge w:val="restart"/>
          </w:tcPr>
          <w:p>
            <w:pPr>
              <w:jc w:val="right"/>
              <w:ind w:right="44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03"/>
        </w:trPr>
        <w:tc>
          <w:tcPr>
            <w:tcW w:w="5520" w:type="dxa"/>
            <w:vAlign w:val="bottom"/>
            <w:vMerge w:val="continue"/>
          </w:tcPr>
          <w:p>
            <w:pPr>
              <w:spacing w:after="0"/>
              <w:rPr>
                <w:sz w:val="17"/>
                <w:szCs w:val="17"/>
                <w:color w:val="auto"/>
              </w:rPr>
            </w:pPr>
          </w:p>
        </w:tc>
        <w:tc>
          <w:tcPr>
            <w:tcW w:w="146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and Preferred Equity</w:t>
            </w:r>
          </w:p>
        </w:tc>
        <w:tc>
          <w:tcPr>
            <w:tcW w:w="100" w:type="dxa"/>
            <w:vAlign w:val="bottom"/>
          </w:tcPr>
          <w:p>
            <w:pPr>
              <w:spacing w:after="0"/>
              <w:rPr>
                <w:sz w:val="17"/>
                <w:szCs w:val="17"/>
                <w:color w:val="auto"/>
              </w:rPr>
            </w:pPr>
          </w:p>
        </w:tc>
        <w:tc>
          <w:tcPr>
            <w:tcW w:w="134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Other Real Estate</w:t>
            </w:r>
          </w:p>
        </w:tc>
        <w:tc>
          <w:tcPr>
            <w:tcW w:w="160" w:type="dxa"/>
            <w:vAlign w:val="bottom"/>
          </w:tcPr>
          <w:p>
            <w:pPr>
              <w:spacing w:after="0"/>
              <w:rPr>
                <w:sz w:val="17"/>
                <w:szCs w:val="17"/>
                <w:color w:val="auto"/>
              </w:rPr>
            </w:pPr>
          </w:p>
        </w:tc>
        <w:tc>
          <w:tcPr>
            <w:tcW w:w="1300" w:type="dxa"/>
            <w:vAlign w:val="bottom"/>
            <w:gridSpan w:val="2"/>
          </w:tcPr>
          <w:p>
            <w:pPr>
              <w:jc w:val="center"/>
              <w:ind w:right="260"/>
              <w:spacing w:after="0" w:line="202" w:lineRule="exact"/>
              <w:rPr>
                <w:sz w:val="20"/>
                <w:szCs w:val="20"/>
                <w:color w:val="auto"/>
              </w:rPr>
            </w:pPr>
            <w:r>
              <w:rPr>
                <w:rFonts w:ascii="Times New Roman" w:cs="Times New Roman" w:eastAsia="Times New Roman" w:hAnsi="Times New Roman"/>
                <w:sz w:val="14"/>
                <w:szCs w:val="14"/>
                <w:b w:val="1"/>
                <w:bCs w:val="1"/>
                <w:color w:val="auto"/>
                <w:w w:val="96"/>
              </w:rPr>
              <w:t>Other</w:t>
            </w:r>
            <w:r>
              <w:rPr>
                <w:rFonts w:ascii="Times New Roman" w:cs="Times New Roman" w:eastAsia="Times New Roman" w:hAnsi="Times New Roman"/>
                <w:sz w:val="18"/>
                <w:szCs w:val="18"/>
                <w:b w:val="1"/>
                <w:bCs w:val="1"/>
                <w:color w:val="auto"/>
                <w:w w:val="96"/>
                <w:vertAlign w:val="superscript"/>
              </w:rPr>
              <w:t>(1)</w:t>
            </w:r>
          </w:p>
        </w:tc>
        <w:tc>
          <w:tcPr>
            <w:tcW w:w="300" w:type="dxa"/>
            <w:vAlign w:val="bottom"/>
          </w:tcPr>
          <w:p>
            <w:pPr>
              <w:spacing w:after="0"/>
              <w:rPr>
                <w:sz w:val="17"/>
                <w:szCs w:val="17"/>
                <w:color w:val="auto"/>
              </w:rPr>
            </w:pPr>
          </w:p>
        </w:tc>
        <w:tc>
          <w:tcPr>
            <w:tcW w:w="10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55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September 30, 2026</w:t>
            </w: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3,084,747</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522,872</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60" w:type="dxa"/>
            <w:vAlign w:val="bottom"/>
            <w:tcBorders>
              <w:top w:val="single" w:sz="8" w:color="auto"/>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59,954</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300" w:type="dxa"/>
            <w:vAlign w:val="bottom"/>
            <w:tcBorders>
              <w:top w:val="single" w:sz="8" w:color="auto"/>
              <w:bottom w:val="single" w:sz="8" w:color="CCEEFF"/>
            </w:tcBorders>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3,667,573</w:t>
            </w:r>
          </w:p>
        </w:tc>
        <w:tc>
          <w:tcPr>
            <w:tcW w:w="0" w:type="dxa"/>
            <w:vAlign w:val="bottom"/>
          </w:tcPr>
          <w:p>
            <w:pPr>
              <w:spacing w:after="0"/>
              <w:rPr>
                <w:sz w:val="1"/>
                <w:szCs w:val="1"/>
                <w:color w:val="auto"/>
              </w:rPr>
            </w:pPr>
          </w:p>
        </w:tc>
      </w:tr>
      <w:tr>
        <w:trPr>
          <w:trHeight w:val="193"/>
        </w:trPr>
        <w:tc>
          <w:tcPr>
            <w:tcW w:w="55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December 31, 2025</w:t>
            </w:r>
          </w:p>
        </w:tc>
        <w:tc>
          <w:tcPr>
            <w:tcW w:w="12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2,689,862</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800,394</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74,574</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3,564,830</w:t>
            </w:r>
          </w:p>
        </w:tc>
        <w:tc>
          <w:tcPr>
            <w:tcW w:w="0" w:type="dxa"/>
            <w:vAlign w:val="bottom"/>
          </w:tcPr>
          <w:p>
            <w:pPr>
              <w:spacing w:after="0"/>
              <w:rPr>
                <w:sz w:val="1"/>
                <w:szCs w:val="1"/>
                <w:color w:val="auto"/>
              </w:rPr>
            </w:pPr>
          </w:p>
        </w:tc>
      </w:tr>
    </w:tbl>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_________________________________________</w:t>
      </w:r>
    </w:p>
    <w:p>
      <w:pPr>
        <w:spacing w:after="0" w:line="27" w:lineRule="exact"/>
        <w:rPr>
          <w:sz w:val="20"/>
          <w:szCs w:val="20"/>
          <w:color w:val="auto"/>
        </w:rPr>
      </w:pPr>
    </w:p>
    <w:p>
      <w:pPr>
        <w:ind w:left="320" w:hanging="312"/>
        <w:spacing w:after="0"/>
        <w:tabs>
          <w:tab w:leader="none" w:pos="32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cash, unallocated receivables and deferred costs and other assets, net.</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Geography</w:t>
      </w:r>
    </w:p>
    <w:p>
      <w:pPr>
        <w:spacing w:after="0" w:line="16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Geography is generally defined as the location in which the income producing assets reside or the location in which income generating services are performed. Geography information on total income includes equity in earnings of unconsolidated ventures. Geography information on total income and long-lived assets are presented as follows (dollars in thousands):</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760" w:type="dxa"/>
            <w:vAlign w:val="bottom"/>
          </w:tcPr>
          <w:p>
            <w:pPr>
              <w:spacing w:after="0"/>
              <w:rPr>
                <w:sz w:val="18"/>
                <w:szCs w:val="18"/>
                <w:color w:val="auto"/>
              </w:rPr>
            </w:pPr>
          </w:p>
        </w:tc>
        <w:tc>
          <w:tcPr>
            <w:tcW w:w="3300" w:type="dxa"/>
            <w:vAlign w:val="bottom"/>
            <w:gridSpan w:val="6"/>
          </w:tcPr>
          <w:p>
            <w:pPr>
              <w:ind w:left="340"/>
              <w:spacing w:after="0"/>
              <w:rPr>
                <w:sz w:val="20"/>
                <w:szCs w:val="20"/>
                <w:color w:val="auto"/>
              </w:rPr>
            </w:pPr>
            <w:r>
              <w:rPr>
                <w:rFonts w:ascii="Times New Roman" w:cs="Times New Roman" w:eastAsia="Times New Roman" w:hAnsi="Times New Roman"/>
                <w:sz w:val="16"/>
                <w:szCs w:val="16"/>
                <w:b w:val="1"/>
                <w:bCs w:val="1"/>
                <w:color w:val="auto"/>
              </w:rPr>
              <w:t>Three Months Ended September 30,</w:t>
            </w:r>
          </w:p>
        </w:tc>
        <w:tc>
          <w:tcPr>
            <w:tcW w:w="240" w:type="dxa"/>
            <w:vAlign w:val="bottom"/>
          </w:tcPr>
          <w:p>
            <w:pPr>
              <w:spacing w:after="0"/>
              <w:rPr>
                <w:sz w:val="18"/>
                <w:szCs w:val="18"/>
                <w:color w:val="auto"/>
              </w:rPr>
            </w:pPr>
          </w:p>
        </w:tc>
        <w:tc>
          <w:tcPr>
            <w:tcW w:w="2940" w:type="dxa"/>
            <w:vAlign w:val="bottom"/>
            <w:gridSpan w:val="4"/>
          </w:tcPr>
          <w:p>
            <w:pPr>
              <w:jc w:val="right"/>
              <w:ind w:right="299"/>
              <w:spacing w:after="0"/>
              <w:rPr>
                <w:sz w:val="20"/>
                <w:szCs w:val="20"/>
                <w:color w:val="auto"/>
              </w:rPr>
            </w:pPr>
            <w:r>
              <w:rPr>
                <w:rFonts w:ascii="Times New Roman" w:cs="Times New Roman" w:eastAsia="Times New Roman" w:hAnsi="Times New Roman"/>
                <w:sz w:val="16"/>
                <w:szCs w:val="16"/>
                <w:b w:val="1"/>
                <w:bCs w:val="1"/>
                <w:color w:val="auto"/>
              </w:rPr>
              <w:t>Nine Months Ended September 30,</w:t>
            </w:r>
          </w:p>
        </w:tc>
      </w:tr>
      <w:tr>
        <w:trPr>
          <w:trHeight w:val="223"/>
        </w:trPr>
        <w:tc>
          <w:tcPr>
            <w:tcW w:w="4760" w:type="dxa"/>
            <w:vAlign w:val="bottom"/>
            <w:tcBorders>
              <w:bottom w:val="single" w:sz="8" w:color="CCEEFF"/>
            </w:tcBorders>
          </w:tcPr>
          <w:p>
            <w:pPr>
              <w:spacing w:after="0"/>
              <w:rPr>
                <w:sz w:val="19"/>
                <w:szCs w:val="19"/>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2026</w:t>
            </w:r>
          </w:p>
        </w:tc>
        <w:tc>
          <w:tcPr>
            <w:tcW w:w="580" w:type="dxa"/>
            <w:vAlign w:val="bottom"/>
            <w:tcBorders>
              <w:top w:val="single" w:sz="8" w:color="auto"/>
              <w:bottom w:val="single" w:sz="8" w:color="auto"/>
            </w:tcBorders>
          </w:tcPr>
          <w:p>
            <w:pPr>
              <w:spacing w:after="0"/>
              <w:rPr>
                <w:sz w:val="19"/>
                <w:szCs w:val="19"/>
                <w:color w:val="auto"/>
              </w:rPr>
            </w:pPr>
          </w:p>
        </w:tc>
        <w:tc>
          <w:tcPr>
            <w:tcW w:w="80" w:type="dxa"/>
            <w:vAlign w:val="bottom"/>
            <w:tcBorders>
              <w:top w:val="single" w:sz="8" w:color="auto"/>
              <w:bottom w:val="single" w:sz="8" w:color="CCEEFF"/>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1200" w:type="dxa"/>
            <w:vAlign w:val="bottom"/>
            <w:tcBorders>
              <w:top w:val="single" w:sz="8" w:color="auto"/>
              <w:bottom w:val="single" w:sz="8" w:color="auto"/>
            </w:tcBorders>
          </w:tcPr>
          <w:p>
            <w:pPr>
              <w:jc w:val="right"/>
              <w:ind w:right="539"/>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Borders>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1300" w:type="dxa"/>
            <w:vAlign w:val="bottom"/>
            <w:tcBorders>
              <w:top w:val="single" w:sz="8" w:color="auto"/>
              <w:bottom w:val="single" w:sz="8" w:color="auto"/>
            </w:tcBorders>
          </w:tcPr>
          <w:p>
            <w:pPr>
              <w:jc w:val="right"/>
              <w:ind w:right="519"/>
              <w:spacing w:after="0"/>
              <w:rPr>
                <w:sz w:val="20"/>
                <w:szCs w:val="20"/>
                <w:color w:val="auto"/>
              </w:rPr>
            </w:pPr>
            <w:r>
              <w:rPr>
                <w:rFonts w:ascii="Times New Roman" w:cs="Times New Roman" w:eastAsia="Times New Roman" w:hAnsi="Times New Roman"/>
                <w:sz w:val="16"/>
                <w:szCs w:val="16"/>
                <w:b w:val="1"/>
                <w:bCs w:val="1"/>
                <w:color w:val="auto"/>
              </w:rPr>
              <w:t>2026</w:t>
            </w:r>
          </w:p>
        </w:tc>
        <w:tc>
          <w:tcPr>
            <w:tcW w:w="100" w:type="dxa"/>
            <w:vAlign w:val="bottom"/>
            <w:tcBorders>
              <w:top w:val="single" w:sz="8" w:color="auto"/>
              <w:bottom w:val="single" w:sz="8" w:color="CCEEFF"/>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1180" w:type="dxa"/>
            <w:vAlign w:val="bottom"/>
            <w:tcBorders>
              <w:top w:val="single" w:sz="8" w:color="auto"/>
              <w:bottom w:val="single" w:sz="8" w:color="auto"/>
            </w:tcBorders>
          </w:tcPr>
          <w:p>
            <w:pPr>
              <w:jc w:val="right"/>
              <w:ind w:right="519"/>
              <w:spacing w:after="0"/>
              <w:rPr>
                <w:sz w:val="20"/>
                <w:szCs w:val="20"/>
                <w:color w:val="auto"/>
              </w:rPr>
            </w:pPr>
            <w:r>
              <w:rPr>
                <w:rFonts w:ascii="Times New Roman" w:cs="Times New Roman" w:eastAsia="Times New Roman" w:hAnsi="Times New Roman"/>
                <w:sz w:val="16"/>
                <w:szCs w:val="16"/>
                <w:b w:val="1"/>
                <w:bCs w:val="1"/>
                <w:color w:val="auto"/>
              </w:rPr>
              <w:t>2025</w:t>
            </w:r>
          </w:p>
        </w:tc>
      </w:tr>
      <w:tr>
        <w:trPr>
          <w:trHeight w:val="213"/>
        </w:trPr>
        <w:tc>
          <w:tcPr>
            <w:tcW w:w="4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Total income by geography:</w:t>
            </w:r>
          </w:p>
        </w:tc>
        <w:tc>
          <w:tcPr>
            <w:tcW w:w="9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r>
      <w:tr>
        <w:trPr>
          <w:trHeight w:val="227"/>
        </w:trPr>
        <w:tc>
          <w:tcPr>
            <w:tcW w:w="47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United States</w:t>
            </w:r>
          </w:p>
        </w:tc>
        <w:tc>
          <w:tcPr>
            <w:tcW w:w="980" w:type="dxa"/>
            <w:vAlign w:val="bottom"/>
          </w:tcPr>
          <w:p>
            <w:pPr>
              <w:jc w:val="right"/>
              <w:ind w:right="799"/>
              <w:spacing w:after="0"/>
              <w:rPr>
                <w:sz w:val="20"/>
                <w:szCs w:val="20"/>
                <w:color w:val="auto"/>
              </w:rPr>
            </w:pPr>
            <w:r>
              <w:rPr>
                <w:rFonts w:ascii="Times New Roman" w:cs="Times New Roman" w:eastAsia="Times New Roman" w:hAnsi="Times New Roman"/>
                <w:sz w:val="16"/>
                <w:szCs w:val="16"/>
                <w:color w:val="auto"/>
                <w:w w:val="99"/>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87,355</w:t>
            </w:r>
          </w:p>
        </w:tc>
        <w:tc>
          <w:tcPr>
            <w:tcW w:w="80" w:type="dxa"/>
            <w:vAlign w:val="bottom"/>
          </w:tcPr>
          <w:p>
            <w:pPr>
              <w:spacing w:after="0"/>
              <w:rPr>
                <w:sz w:val="19"/>
                <w:szCs w:val="19"/>
                <w:color w:val="auto"/>
              </w:rPr>
            </w:pPr>
          </w:p>
        </w:tc>
        <w:tc>
          <w:tcPr>
            <w:tcW w:w="36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83,938</w:t>
            </w:r>
          </w:p>
        </w:tc>
        <w:tc>
          <w:tcPr>
            <w:tcW w:w="100" w:type="dxa"/>
            <w:vAlign w:val="bottom"/>
          </w:tcPr>
          <w:p>
            <w:pPr>
              <w:spacing w:after="0"/>
              <w:rPr>
                <w:sz w:val="19"/>
                <w:szCs w:val="19"/>
                <w:color w:val="auto"/>
              </w:rPr>
            </w:pP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256,043</w:t>
            </w:r>
          </w:p>
        </w:tc>
        <w:tc>
          <w:tcPr>
            <w:tcW w:w="100" w:type="dxa"/>
            <w:vAlign w:val="bottom"/>
          </w:tcPr>
          <w:p>
            <w:pPr>
              <w:spacing w:after="0"/>
              <w:rPr>
                <w:sz w:val="19"/>
                <w:szCs w:val="19"/>
                <w:color w:val="auto"/>
              </w:rPr>
            </w:pPr>
          </w:p>
        </w:tc>
        <w:tc>
          <w:tcPr>
            <w:tcW w:w="36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237,928</w:t>
            </w:r>
          </w:p>
        </w:tc>
      </w:tr>
      <w:tr>
        <w:trPr>
          <w:trHeight w:val="229"/>
        </w:trPr>
        <w:tc>
          <w:tcPr>
            <w:tcW w:w="4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Norway</w:t>
            </w:r>
          </w:p>
        </w:tc>
        <w:tc>
          <w:tcPr>
            <w:tcW w:w="980" w:type="dxa"/>
            <w:vAlign w:val="bottom"/>
            <w:shd w:val="clear" w:color="auto" w:fill="CCEEFF"/>
          </w:tcPr>
          <w:p>
            <w:pPr>
              <w:spacing w:after="0"/>
              <w:rPr>
                <w:sz w:val="19"/>
                <w:szCs w:val="19"/>
                <w:color w:val="auto"/>
              </w:rPr>
            </w:pPr>
          </w:p>
        </w:tc>
        <w:tc>
          <w:tcPr>
            <w:tcW w:w="6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9,497</w:t>
            </w:r>
          </w:p>
        </w:tc>
      </w:tr>
      <w:tr>
        <w:trPr>
          <w:trHeight w:val="226"/>
        </w:trPr>
        <w:tc>
          <w:tcPr>
            <w:tcW w:w="4760" w:type="dxa"/>
            <w:vAlign w:val="bottom"/>
          </w:tcPr>
          <w:p>
            <w:pPr>
              <w:ind w:left="20"/>
              <w:spacing w:after="0" w:line="226" w:lineRule="exact"/>
              <w:rPr>
                <w:sz w:val="20"/>
                <w:szCs w:val="20"/>
                <w:color w:val="auto"/>
              </w:rPr>
            </w:pPr>
            <w:r>
              <w:rPr>
                <w:rFonts w:ascii="Times New Roman" w:cs="Times New Roman" w:eastAsia="Times New Roman" w:hAnsi="Times New Roman"/>
                <w:sz w:val="16"/>
                <w:szCs w:val="16"/>
                <w:color w:val="auto"/>
              </w:rPr>
              <w:t>Total</w:t>
            </w:r>
            <w:r>
              <w:rPr>
                <w:rFonts w:ascii="Times New Roman" w:cs="Times New Roman" w:eastAsia="Times New Roman" w:hAnsi="Times New Roman"/>
                <w:sz w:val="21"/>
                <w:szCs w:val="21"/>
                <w:color w:val="auto"/>
                <w:vertAlign w:val="superscript"/>
              </w:rPr>
              <w:t>(1)</w:t>
            </w:r>
          </w:p>
        </w:tc>
        <w:tc>
          <w:tcPr>
            <w:tcW w:w="980" w:type="dxa"/>
            <w:vAlign w:val="bottom"/>
            <w:tcBorders>
              <w:top w:val="single" w:sz="8" w:color="auto"/>
              <w:bottom w:val="single" w:sz="8" w:color="auto"/>
            </w:tcBorders>
          </w:tcPr>
          <w:p>
            <w:pPr>
              <w:jc w:val="right"/>
              <w:ind w:right="799"/>
              <w:spacing w:after="0"/>
              <w:rPr>
                <w:sz w:val="20"/>
                <w:szCs w:val="20"/>
                <w:color w:val="auto"/>
              </w:rPr>
            </w:pPr>
            <w:r>
              <w:rPr>
                <w:rFonts w:ascii="Times New Roman" w:cs="Times New Roman" w:eastAsia="Times New Roman" w:hAnsi="Times New Roman"/>
                <w:sz w:val="16"/>
                <w:szCs w:val="16"/>
                <w:color w:val="auto"/>
                <w:w w:val="99"/>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87,355</w:t>
            </w:r>
          </w:p>
        </w:tc>
        <w:tc>
          <w:tcPr>
            <w:tcW w:w="80" w:type="dxa"/>
            <w:vAlign w:val="bottom"/>
          </w:tcPr>
          <w:p>
            <w:pPr>
              <w:spacing w:after="0"/>
              <w:rPr>
                <w:sz w:val="19"/>
                <w:szCs w:val="19"/>
                <w:color w:val="auto"/>
              </w:rPr>
            </w:pPr>
          </w:p>
        </w:tc>
        <w:tc>
          <w:tcPr>
            <w:tcW w:w="360" w:type="dxa"/>
            <w:vAlign w:val="bottom"/>
            <w:tcBorders>
              <w:top w:val="single" w:sz="8" w:color="auto"/>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83,938</w:t>
            </w:r>
          </w:p>
        </w:tc>
        <w:tc>
          <w:tcPr>
            <w:tcW w:w="10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256,043</w:t>
            </w:r>
          </w:p>
        </w:tc>
        <w:tc>
          <w:tcPr>
            <w:tcW w:w="100" w:type="dxa"/>
            <w:vAlign w:val="bottom"/>
          </w:tcPr>
          <w:p>
            <w:pPr>
              <w:spacing w:after="0"/>
              <w:rPr>
                <w:sz w:val="19"/>
                <w:szCs w:val="19"/>
                <w:color w:val="auto"/>
              </w:rPr>
            </w:pPr>
          </w:p>
        </w:tc>
        <w:tc>
          <w:tcPr>
            <w:tcW w:w="360" w:type="dxa"/>
            <w:vAlign w:val="bottom"/>
            <w:tcBorders>
              <w:top w:val="single" w:sz="8" w:color="auto"/>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247,425</w:t>
            </w:r>
          </w:p>
        </w:tc>
      </w:tr>
      <w:tr>
        <w:trPr>
          <w:trHeight w:val="20"/>
        </w:trPr>
        <w:tc>
          <w:tcPr>
            <w:tcW w:w="476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_________________________________________</w:t>
      </w:r>
    </w:p>
    <w:p>
      <w:pPr>
        <w:spacing w:after="0" w:line="27" w:lineRule="exact"/>
        <w:rPr>
          <w:sz w:val="20"/>
          <w:szCs w:val="20"/>
          <w:color w:val="auto"/>
        </w:rPr>
      </w:pPr>
    </w:p>
    <w:p>
      <w:pPr>
        <w:ind w:left="320" w:hanging="312"/>
        <w:spacing w:after="0"/>
        <w:tabs>
          <w:tab w:leader="none" w:pos="32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interest income and property and other income.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BRIGHTSPIRE CAPITAL,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14. Earnings Per Share</w:t>
      </w:r>
    </w:p>
    <w:p>
      <w:pPr>
        <w:spacing w:after="0" w:line="148"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Company’s net loss and weighted average shares outstanding for the three and nine months ended September 30, 2026 and 2025 consist of the following (dollars in thousands, except per share data):</w:t>
      </w:r>
    </w:p>
    <w:p>
      <w:pPr>
        <w:spacing w:after="0" w:line="7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700" w:type="dxa"/>
            <w:vAlign w:val="bottom"/>
            <w:gridSpan w:val="5"/>
            <w:vMerge w:val="restart"/>
          </w:tcPr>
          <w:p>
            <w:pPr>
              <w:spacing w:after="0"/>
              <w:rPr>
                <w:sz w:val="20"/>
                <w:szCs w:val="20"/>
                <w:color w:val="auto"/>
              </w:rPr>
            </w:pPr>
            <w:r>
              <w:rPr>
                <w:rFonts w:ascii="Times New Roman" w:cs="Times New Roman" w:eastAsia="Times New Roman" w:hAnsi="Times New Roman"/>
                <w:sz w:val="16"/>
                <w:szCs w:val="16"/>
                <w:b w:val="1"/>
                <w:bCs w:val="1"/>
                <w:color w:val="auto"/>
              </w:rPr>
              <w:t>Three Months Ended September 30,</w:t>
            </w:r>
          </w:p>
        </w:tc>
        <w:tc>
          <w:tcPr>
            <w:tcW w:w="300" w:type="dxa"/>
            <w:vAlign w:val="bottom"/>
          </w:tcPr>
          <w:p>
            <w:pPr>
              <w:spacing w:after="0"/>
              <w:rPr>
                <w:sz w:val="16"/>
                <w:szCs w:val="16"/>
                <w:color w:val="auto"/>
              </w:rPr>
            </w:pPr>
          </w:p>
        </w:tc>
        <w:tc>
          <w:tcPr>
            <w:tcW w:w="2420" w:type="dxa"/>
            <w:vAlign w:val="bottom"/>
            <w:gridSpan w:val="4"/>
          </w:tcPr>
          <w:p>
            <w:pPr>
              <w:jc w:val="right"/>
              <w:ind w:right="599"/>
              <w:spacing w:after="0"/>
              <w:rPr>
                <w:sz w:val="20"/>
                <w:szCs w:val="20"/>
                <w:color w:val="auto"/>
              </w:rPr>
            </w:pPr>
            <w:r>
              <w:rPr>
                <w:rFonts w:ascii="Times New Roman" w:cs="Times New Roman" w:eastAsia="Times New Roman" w:hAnsi="Times New Roman"/>
                <w:sz w:val="16"/>
                <w:szCs w:val="16"/>
                <w:b w:val="1"/>
                <w:bCs w:val="1"/>
                <w:color w:val="auto"/>
              </w:rPr>
              <w:t>Nine Months Ended</w:t>
            </w:r>
          </w:p>
        </w:tc>
        <w:tc>
          <w:tcPr>
            <w:tcW w:w="0" w:type="dxa"/>
            <w:vAlign w:val="bottom"/>
          </w:tcPr>
          <w:p>
            <w:pPr>
              <w:spacing w:after="0"/>
              <w:rPr>
                <w:sz w:val="1"/>
                <w:szCs w:val="1"/>
                <w:color w:val="auto"/>
              </w:rPr>
            </w:pPr>
          </w:p>
        </w:tc>
      </w:tr>
      <w:tr>
        <w:trPr>
          <w:trHeight w:val="214"/>
        </w:trPr>
        <w:tc>
          <w:tcPr>
            <w:tcW w:w="5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00" w:type="dxa"/>
            <w:vAlign w:val="bottom"/>
            <w:gridSpan w:val="5"/>
            <w:vMerge w:val="continue"/>
          </w:tcPr>
          <w:p>
            <w:pPr>
              <w:spacing w:after="0"/>
              <w:rPr>
                <w:sz w:val="18"/>
                <w:szCs w:val="18"/>
                <w:color w:val="auto"/>
              </w:rPr>
            </w:pPr>
          </w:p>
        </w:tc>
        <w:tc>
          <w:tcPr>
            <w:tcW w:w="300" w:type="dxa"/>
            <w:vAlign w:val="bottom"/>
          </w:tcPr>
          <w:p>
            <w:pPr>
              <w:spacing w:after="0"/>
              <w:rPr>
                <w:sz w:val="18"/>
                <w:szCs w:val="18"/>
                <w:color w:val="auto"/>
              </w:rPr>
            </w:pPr>
          </w:p>
        </w:tc>
        <w:tc>
          <w:tcPr>
            <w:tcW w:w="1600" w:type="dxa"/>
            <w:vAlign w:val="bottom"/>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5720" w:type="dxa"/>
            <w:vAlign w:val="bottom"/>
            <w:tcBorders>
              <w:bottom w:val="single" w:sz="8" w:color="CCEEFF"/>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1200" w:type="dxa"/>
            <w:vAlign w:val="bottom"/>
            <w:tcBorders>
              <w:top w:val="single" w:sz="8" w:color="auto"/>
              <w:bottom w:val="single" w:sz="8" w:color="auto"/>
            </w:tcBorders>
          </w:tcPr>
          <w:p>
            <w:pPr>
              <w:jc w:val="right"/>
              <w:ind w:right="399"/>
              <w:spacing w:after="0"/>
              <w:rPr>
                <w:sz w:val="20"/>
                <w:szCs w:val="20"/>
                <w:color w:val="auto"/>
              </w:rPr>
            </w:pPr>
            <w:r>
              <w:rPr>
                <w:rFonts w:ascii="Times New Roman" w:cs="Times New Roman" w:eastAsia="Times New Roman" w:hAnsi="Times New Roman"/>
                <w:sz w:val="16"/>
                <w:szCs w:val="16"/>
                <w:b w:val="1"/>
                <w:bCs w:val="1"/>
                <w:color w:val="auto"/>
              </w:rPr>
              <w:t>2026</w:t>
            </w:r>
          </w:p>
        </w:tc>
        <w:tc>
          <w:tcPr>
            <w:tcW w:w="100" w:type="dxa"/>
            <w:vAlign w:val="bottom"/>
            <w:tcBorders>
              <w:top w:val="single" w:sz="8" w:color="auto"/>
              <w:bottom w:val="single" w:sz="8" w:color="CCEEFF"/>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ind w:right="419"/>
              <w:spacing w:after="0"/>
              <w:rPr>
                <w:sz w:val="20"/>
                <w:szCs w:val="20"/>
                <w:color w:val="auto"/>
              </w:rPr>
            </w:pPr>
            <w:r>
              <w:rPr>
                <w:rFonts w:ascii="Times New Roman" w:cs="Times New Roman" w:eastAsia="Times New Roman" w:hAnsi="Times New Roman"/>
                <w:sz w:val="16"/>
                <w:szCs w:val="16"/>
                <w:b w:val="1"/>
                <w:bCs w:val="1"/>
                <w:color w:val="auto"/>
              </w:rPr>
              <w:t>2025</w:t>
            </w:r>
          </w:p>
        </w:tc>
        <w:tc>
          <w:tcPr>
            <w:tcW w:w="80" w:type="dxa"/>
            <w:vAlign w:val="bottom"/>
            <w:tcBorders>
              <w:bottom w:val="single" w:sz="8" w:color="CCEEFF"/>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ind w:right="419"/>
              <w:spacing w:after="0"/>
              <w:rPr>
                <w:sz w:val="20"/>
                <w:szCs w:val="20"/>
                <w:color w:val="auto"/>
              </w:rPr>
            </w:pPr>
            <w:r>
              <w:rPr>
                <w:rFonts w:ascii="Times New Roman" w:cs="Times New Roman" w:eastAsia="Times New Roman" w:hAnsi="Times New Roman"/>
                <w:sz w:val="16"/>
                <w:szCs w:val="16"/>
                <w:b w:val="1"/>
                <w:bCs w:val="1"/>
                <w:color w:val="auto"/>
              </w:rPr>
              <w:t>2026</w:t>
            </w:r>
          </w:p>
        </w:tc>
        <w:tc>
          <w:tcPr>
            <w:tcW w:w="100" w:type="dxa"/>
            <w:vAlign w:val="bottom"/>
            <w:tcBorders>
              <w:top w:val="single" w:sz="8" w:color="auto"/>
              <w:bottom w:val="single" w:sz="8" w:color="CCEEFF"/>
            </w:tcBorders>
          </w:tcPr>
          <w:p>
            <w:pPr>
              <w:spacing w:after="0"/>
              <w:rPr>
                <w:sz w:val="19"/>
                <w:szCs w:val="19"/>
                <w:color w:val="auto"/>
              </w:rPr>
            </w:pPr>
          </w:p>
        </w:tc>
        <w:tc>
          <w:tcPr>
            <w:tcW w:w="480" w:type="dxa"/>
            <w:vAlign w:val="bottom"/>
            <w:tcBorders>
              <w:top w:val="single" w:sz="8" w:color="auto"/>
              <w:bottom w:val="single" w:sz="8" w:color="auto"/>
            </w:tcBorders>
          </w:tcPr>
          <w:p>
            <w:pPr>
              <w:spacing w:after="0"/>
              <w:rPr>
                <w:sz w:val="19"/>
                <w:szCs w:val="19"/>
                <w:color w:val="auto"/>
              </w:rPr>
            </w:pPr>
          </w:p>
        </w:tc>
        <w:tc>
          <w:tcPr>
            <w:tcW w:w="820" w:type="dxa"/>
            <w:vAlign w:val="bottom"/>
            <w:tcBorders>
              <w:top w:val="single" w:sz="8" w:color="auto"/>
              <w:bottom w:val="single" w:sz="8" w:color="auto"/>
            </w:tcBorders>
          </w:tcPr>
          <w:p>
            <w:pPr>
              <w:jc w:val="right"/>
              <w:ind w:right="419"/>
              <w:spacing w:after="0"/>
              <w:rPr>
                <w:sz w:val="20"/>
                <w:szCs w:val="20"/>
                <w:color w:val="auto"/>
              </w:rPr>
            </w:pPr>
            <w:r>
              <w:rPr>
                <w:rFonts w:ascii="Times New Roman" w:cs="Times New Roman" w:eastAsia="Times New Roman" w:hAnsi="Times New Roman"/>
                <w:sz w:val="16"/>
                <w:szCs w:val="16"/>
                <w:b w:val="1"/>
                <w:bCs w:val="1"/>
                <w:color w:val="auto"/>
                <w:w w:val="93"/>
              </w:rPr>
              <w:t>2025</w:t>
            </w:r>
          </w:p>
        </w:tc>
        <w:tc>
          <w:tcPr>
            <w:tcW w:w="0" w:type="dxa"/>
            <w:vAlign w:val="bottom"/>
          </w:tcPr>
          <w:p>
            <w:pPr>
              <w:spacing w:after="0"/>
              <w:rPr>
                <w:sz w:val="1"/>
                <w:szCs w:val="1"/>
                <w:color w:val="auto"/>
              </w:rPr>
            </w:pPr>
          </w:p>
        </w:tc>
      </w:tr>
      <w:tr>
        <w:trPr>
          <w:trHeight w:val="226"/>
        </w:trPr>
        <w:tc>
          <w:tcPr>
            <w:tcW w:w="5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Net income (loss)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47,234</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(1,304)</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30,175</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319"/>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(22,769)</w:t>
            </w:r>
          </w:p>
        </w:tc>
        <w:tc>
          <w:tcPr>
            <w:tcW w:w="0" w:type="dxa"/>
            <w:vAlign w:val="bottom"/>
          </w:tcPr>
          <w:p>
            <w:pPr>
              <w:spacing w:after="0"/>
              <w:rPr>
                <w:sz w:val="1"/>
                <w:szCs w:val="1"/>
                <w:color w:val="auto"/>
              </w:rPr>
            </w:pPr>
          </w:p>
        </w:tc>
      </w:tr>
      <w:tr>
        <w:trPr>
          <w:trHeight w:val="227"/>
        </w:trPr>
        <w:tc>
          <w:tcPr>
            <w:tcW w:w="57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Net income (loss) attributable to noncontrolling interests:</w:t>
            </w:r>
          </w:p>
        </w:tc>
        <w:tc>
          <w:tcPr>
            <w:tcW w:w="1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7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Investment Entities</w:t>
            </w:r>
          </w:p>
        </w:tc>
        <w:tc>
          <w:tcPr>
            <w:tcW w:w="10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(300)</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2,288</w:t>
            </w:r>
          </w:p>
        </w:tc>
        <w:tc>
          <w:tcPr>
            <w:tcW w:w="8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3,272</w:t>
            </w:r>
          </w:p>
        </w:tc>
        <w:tc>
          <w:tcPr>
            <w:tcW w:w="10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5,976</w:t>
            </w:r>
          </w:p>
        </w:tc>
        <w:tc>
          <w:tcPr>
            <w:tcW w:w="0" w:type="dxa"/>
            <w:vAlign w:val="bottom"/>
          </w:tcPr>
          <w:p>
            <w:pPr>
              <w:spacing w:after="0"/>
              <w:rPr>
                <w:sz w:val="1"/>
                <w:szCs w:val="1"/>
                <w:color w:val="auto"/>
              </w:rPr>
            </w:pPr>
          </w:p>
        </w:tc>
      </w:tr>
      <w:tr>
        <w:trPr>
          <w:trHeight w:val="226"/>
        </w:trPr>
        <w:tc>
          <w:tcPr>
            <w:tcW w:w="57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Net income (loss) attributable to BrightSpire Capital, Inc. common stockholders</w:t>
            </w: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46,934</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984</w:t>
            </w:r>
          </w:p>
        </w:tc>
        <w:tc>
          <w:tcPr>
            <w:tcW w:w="80" w:type="dxa"/>
            <w:vAlign w:val="bottom"/>
          </w:tcPr>
          <w:p>
            <w:pPr>
              <w:spacing w:after="0"/>
              <w:rPr>
                <w:sz w:val="19"/>
                <w:szCs w:val="19"/>
                <w:color w:val="auto"/>
              </w:rPr>
            </w:pPr>
          </w:p>
        </w:tc>
        <w:tc>
          <w:tcPr>
            <w:tcW w:w="30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33,447</w:t>
            </w:r>
          </w:p>
        </w:tc>
        <w:tc>
          <w:tcPr>
            <w:tcW w:w="100" w:type="dxa"/>
            <w:vAlign w:val="bottom"/>
          </w:tcPr>
          <w:p>
            <w:pPr>
              <w:spacing w:after="0"/>
              <w:rPr>
                <w:sz w:val="19"/>
                <w:szCs w:val="19"/>
                <w:color w:val="auto"/>
              </w:rPr>
            </w:pPr>
          </w:p>
        </w:tc>
        <w:tc>
          <w:tcPr>
            <w:tcW w:w="480" w:type="dxa"/>
            <w:vAlign w:val="bottom"/>
            <w:tcBorders>
              <w:bottom w:val="single" w:sz="8" w:color="auto"/>
            </w:tcBorders>
          </w:tcPr>
          <w:p>
            <w:pPr>
              <w:jc w:val="right"/>
              <w:ind w:right="319"/>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(16,793)</w:t>
            </w:r>
          </w:p>
        </w:tc>
        <w:tc>
          <w:tcPr>
            <w:tcW w:w="0" w:type="dxa"/>
            <w:vAlign w:val="bottom"/>
          </w:tcPr>
          <w:p>
            <w:pPr>
              <w:spacing w:after="0"/>
              <w:rPr>
                <w:sz w:val="1"/>
                <w:szCs w:val="1"/>
                <w:color w:val="auto"/>
              </w:rPr>
            </w:pPr>
          </w:p>
        </w:tc>
      </w:tr>
      <w:tr>
        <w:trPr>
          <w:trHeight w:val="20"/>
        </w:trPr>
        <w:tc>
          <w:tcPr>
            <w:tcW w:w="57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57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Numerator:</w:t>
            </w:r>
          </w:p>
        </w:tc>
        <w:tc>
          <w:tcPr>
            <w:tcW w:w="1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8"/>
        </w:trPr>
        <w:tc>
          <w:tcPr>
            <w:tcW w:w="5720" w:type="dxa"/>
            <w:vAlign w:val="bottom"/>
            <w:shd w:val="clear" w:color="auto" w:fill="CCEEFF"/>
          </w:tcPr>
          <w:p>
            <w:pPr>
              <w:ind w:left="140"/>
              <w:spacing w:after="0" w:line="178" w:lineRule="exact"/>
              <w:rPr>
                <w:sz w:val="20"/>
                <w:szCs w:val="20"/>
                <w:color w:val="auto"/>
              </w:rPr>
            </w:pPr>
            <w:r>
              <w:rPr>
                <w:rFonts w:ascii="Times New Roman" w:cs="Times New Roman" w:eastAsia="Times New Roman" w:hAnsi="Times New Roman"/>
                <w:sz w:val="16"/>
                <w:szCs w:val="16"/>
                <w:color w:val="auto"/>
              </w:rPr>
              <w:t>Dividends and undistributed earnings allocated to participating securities (non-</w:t>
            </w:r>
          </w:p>
        </w:tc>
        <w:tc>
          <w:tcPr>
            <w:tcW w:w="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(1,291)</w:t>
            </w:r>
          </w:p>
        </w:tc>
        <w:tc>
          <w:tcPr>
            <w:tcW w:w="100" w:type="dxa"/>
            <w:vAlign w:val="bottom"/>
            <w:shd w:val="clear" w:color="auto" w:fill="CCEEFF"/>
          </w:tcPr>
          <w:p>
            <w:pPr>
              <w:spacing w:after="0"/>
              <w:rPr>
                <w:sz w:val="15"/>
                <w:szCs w:val="15"/>
                <w:color w:val="auto"/>
              </w:rPr>
            </w:pPr>
          </w:p>
        </w:tc>
        <w:tc>
          <w:tcPr>
            <w:tcW w:w="300" w:type="dxa"/>
            <w:vAlign w:val="bottom"/>
            <w:vMerge w:val="restart"/>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(458)</w:t>
            </w:r>
          </w:p>
        </w:tc>
        <w:tc>
          <w:tcPr>
            <w:tcW w:w="80" w:type="dxa"/>
            <w:vAlign w:val="bottom"/>
            <w:shd w:val="clear" w:color="auto" w:fill="CCEEFF"/>
          </w:tcPr>
          <w:p>
            <w:pPr>
              <w:spacing w:after="0"/>
              <w:rPr>
                <w:sz w:val="15"/>
                <w:szCs w:val="15"/>
                <w:color w:val="auto"/>
              </w:rPr>
            </w:pPr>
          </w:p>
        </w:tc>
        <w:tc>
          <w:tcPr>
            <w:tcW w:w="300" w:type="dxa"/>
            <w:vAlign w:val="bottom"/>
            <w:vMerge w:val="restart"/>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(1,680)</w:t>
            </w:r>
          </w:p>
        </w:tc>
        <w:tc>
          <w:tcPr>
            <w:tcW w:w="100" w:type="dxa"/>
            <w:vAlign w:val="bottom"/>
            <w:shd w:val="clear" w:color="auto" w:fill="CCEEFF"/>
          </w:tcPr>
          <w:p>
            <w:pPr>
              <w:spacing w:after="0"/>
              <w:rPr>
                <w:sz w:val="15"/>
                <w:szCs w:val="15"/>
                <w:color w:val="auto"/>
              </w:rPr>
            </w:pPr>
          </w:p>
        </w:tc>
        <w:tc>
          <w:tcPr>
            <w:tcW w:w="480" w:type="dxa"/>
            <w:vAlign w:val="bottom"/>
            <w:vMerge w:val="restart"/>
            <w:shd w:val="clear" w:color="auto" w:fill="CCEEFF"/>
          </w:tcPr>
          <w:p>
            <w:pPr>
              <w:jc w:val="right"/>
              <w:ind w:right="319"/>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(1,398)</w:t>
            </w:r>
          </w:p>
        </w:tc>
        <w:tc>
          <w:tcPr>
            <w:tcW w:w="0" w:type="dxa"/>
            <w:vAlign w:val="bottom"/>
          </w:tcPr>
          <w:p>
            <w:pPr>
              <w:spacing w:after="0"/>
              <w:rPr>
                <w:sz w:val="1"/>
                <w:szCs w:val="1"/>
                <w:color w:val="auto"/>
              </w:rPr>
            </w:pPr>
          </w:p>
        </w:tc>
      </w:tr>
      <w:tr>
        <w:trPr>
          <w:trHeight w:val="213"/>
        </w:trPr>
        <w:tc>
          <w:tcPr>
            <w:tcW w:w="57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vested shares)</w:t>
            </w:r>
          </w:p>
        </w:tc>
        <w:tc>
          <w:tcPr>
            <w:tcW w:w="100" w:type="dxa"/>
            <w:vAlign w:val="bottom"/>
            <w:tcBorders>
              <w:bottom w:val="single" w:sz="8" w:color="auto"/>
            </w:tcBorders>
            <w:vMerge w:val="continue"/>
            <w:shd w:val="clear" w:color="auto" w:fill="CCEEFF"/>
          </w:tcPr>
          <w:p>
            <w:pPr>
              <w:spacing w:after="0"/>
              <w:rPr>
                <w:sz w:val="18"/>
                <w:szCs w:val="18"/>
                <w:color w:val="auto"/>
              </w:rPr>
            </w:pPr>
          </w:p>
        </w:tc>
        <w:tc>
          <w:tcPr>
            <w:tcW w:w="120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300" w:type="dxa"/>
            <w:vAlign w:val="bottom"/>
            <w:tcBorders>
              <w:bottom w:val="single" w:sz="8" w:color="auto"/>
            </w:tcBorders>
            <w:vMerge w:val="continue"/>
            <w:shd w:val="clear" w:color="auto" w:fill="CCEEFF"/>
          </w:tcPr>
          <w:p>
            <w:pPr>
              <w:spacing w:after="0"/>
              <w:rPr>
                <w:sz w:val="18"/>
                <w:szCs w:val="18"/>
                <w:color w:val="auto"/>
              </w:rPr>
            </w:pPr>
          </w:p>
        </w:tc>
        <w:tc>
          <w:tcPr>
            <w:tcW w:w="1020" w:type="dxa"/>
            <w:vAlign w:val="bottom"/>
            <w:tcBorders>
              <w:bottom w:val="single" w:sz="8" w:color="auto"/>
            </w:tcBorders>
            <w:vMerge w:val="continue"/>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300" w:type="dxa"/>
            <w:vAlign w:val="bottom"/>
            <w:tcBorders>
              <w:bottom w:val="single" w:sz="8" w:color="auto"/>
            </w:tcBorders>
            <w:vMerge w:val="continue"/>
            <w:shd w:val="clear" w:color="auto" w:fill="CCEEFF"/>
          </w:tcPr>
          <w:p>
            <w:pPr>
              <w:spacing w:after="0"/>
              <w:rPr>
                <w:sz w:val="18"/>
                <w:szCs w:val="18"/>
                <w:color w:val="auto"/>
              </w:rPr>
            </w:pPr>
          </w:p>
        </w:tc>
        <w:tc>
          <w:tcPr>
            <w:tcW w:w="102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vMerge w:val="continue"/>
            <w:shd w:val="clear" w:color="auto" w:fill="CCEEFF"/>
          </w:tcPr>
          <w:p>
            <w:pPr>
              <w:spacing w:after="0"/>
              <w:rPr>
                <w:sz w:val="18"/>
                <w:szCs w:val="18"/>
                <w:color w:val="auto"/>
              </w:rPr>
            </w:pPr>
          </w:p>
        </w:tc>
        <w:tc>
          <w:tcPr>
            <w:tcW w:w="820" w:type="dxa"/>
            <w:vAlign w:val="bottom"/>
            <w:tcBorders>
              <w:bottom w:val="single" w:sz="8" w:color="auto"/>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7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Numerator for basic income (loss) per common share</w:t>
            </w: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45,643</w:t>
            </w:r>
          </w:p>
        </w:tc>
        <w:tc>
          <w:tcPr>
            <w:tcW w:w="10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526</w:t>
            </w:r>
          </w:p>
        </w:tc>
        <w:tc>
          <w:tcPr>
            <w:tcW w:w="8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31,767</w:t>
            </w:r>
          </w:p>
        </w:tc>
        <w:tc>
          <w:tcPr>
            <w:tcW w:w="1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ind w:right="319"/>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(18,191)</w:t>
            </w:r>
          </w:p>
        </w:tc>
        <w:tc>
          <w:tcPr>
            <w:tcW w:w="0" w:type="dxa"/>
            <w:vAlign w:val="bottom"/>
          </w:tcPr>
          <w:p>
            <w:pPr>
              <w:spacing w:after="0"/>
              <w:rPr>
                <w:sz w:val="1"/>
                <w:szCs w:val="1"/>
                <w:color w:val="auto"/>
              </w:rPr>
            </w:pPr>
          </w:p>
        </w:tc>
      </w:tr>
      <w:tr>
        <w:trPr>
          <w:trHeight w:val="223"/>
        </w:trPr>
        <w:tc>
          <w:tcPr>
            <w:tcW w:w="57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Impact of assumed conversion of dilutive unvested PSUs</w:t>
            </w:r>
          </w:p>
        </w:tc>
        <w:tc>
          <w:tcPr>
            <w:tcW w:w="10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124</w:t>
            </w:r>
          </w:p>
        </w:tc>
        <w:tc>
          <w:tcPr>
            <w:tcW w:w="100" w:type="dxa"/>
            <w:vAlign w:val="bottom"/>
            <w:tcBorders>
              <w:bottom w:val="single" w:sz="8" w:color="auto"/>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48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26"/>
        </w:trPr>
        <w:tc>
          <w:tcPr>
            <w:tcW w:w="57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Numerator for diluted income (loss) per common share</w:t>
            </w: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45,767</w:t>
            </w:r>
          </w:p>
        </w:tc>
        <w:tc>
          <w:tcPr>
            <w:tcW w:w="10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526</w:t>
            </w:r>
          </w:p>
        </w:tc>
        <w:tc>
          <w:tcPr>
            <w:tcW w:w="8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31,767</w:t>
            </w:r>
          </w:p>
        </w:tc>
        <w:tc>
          <w:tcPr>
            <w:tcW w:w="1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ind w:right="319"/>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(18,191)</w:t>
            </w:r>
          </w:p>
        </w:tc>
        <w:tc>
          <w:tcPr>
            <w:tcW w:w="0" w:type="dxa"/>
            <w:vAlign w:val="bottom"/>
          </w:tcPr>
          <w:p>
            <w:pPr>
              <w:spacing w:after="0"/>
              <w:rPr>
                <w:sz w:val="1"/>
                <w:szCs w:val="1"/>
                <w:color w:val="auto"/>
              </w:rPr>
            </w:pPr>
          </w:p>
        </w:tc>
      </w:tr>
      <w:tr>
        <w:trPr>
          <w:trHeight w:val="20"/>
        </w:trPr>
        <w:tc>
          <w:tcPr>
            <w:tcW w:w="57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57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Denominator:</w:t>
            </w:r>
          </w:p>
        </w:tc>
        <w:tc>
          <w:tcPr>
            <w:tcW w:w="1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5720" w:type="dxa"/>
            <w:vAlign w:val="bottom"/>
            <w:shd w:val="clear" w:color="auto" w:fill="CCEEFF"/>
          </w:tcPr>
          <w:p>
            <w:pPr>
              <w:ind w:left="20"/>
              <w:spacing w:after="0" w:line="233" w:lineRule="exact"/>
              <w:rPr>
                <w:sz w:val="20"/>
                <w:szCs w:val="20"/>
                <w:color w:val="auto"/>
              </w:rPr>
            </w:pPr>
            <w:r>
              <w:rPr>
                <w:rFonts w:ascii="Times New Roman" w:cs="Times New Roman" w:eastAsia="Times New Roman" w:hAnsi="Times New Roman"/>
                <w:sz w:val="16"/>
                <w:szCs w:val="16"/>
                <w:color w:val="auto"/>
              </w:rPr>
              <w:t>Weighted average shares outstanding - basic</w:t>
            </w:r>
            <w:r>
              <w:rPr>
                <w:rFonts w:ascii="Times New Roman" w:cs="Times New Roman" w:eastAsia="Times New Roman" w:hAnsi="Times New Roman"/>
                <w:sz w:val="21"/>
                <w:szCs w:val="21"/>
                <w:color w:val="auto"/>
                <w:vertAlign w:val="superscript"/>
              </w:rPr>
              <w:t>(1)</w:t>
            </w:r>
          </w:p>
        </w:tc>
        <w:tc>
          <w:tcPr>
            <w:tcW w:w="100" w:type="dxa"/>
            <w:vAlign w:val="bottom"/>
            <w:shd w:val="clear" w:color="auto" w:fill="CCEEFF"/>
          </w:tcPr>
          <w:p>
            <w:pPr>
              <w:spacing w:after="0"/>
              <w:rPr>
                <w:sz w:val="20"/>
                <w:szCs w:val="20"/>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122,318</w:t>
            </w: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126,940</w:t>
            </w:r>
          </w:p>
        </w:tc>
        <w:tc>
          <w:tcPr>
            <w:tcW w:w="8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124,974</w:t>
            </w:r>
          </w:p>
        </w:tc>
        <w:tc>
          <w:tcPr>
            <w:tcW w:w="10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127,089</w:t>
            </w:r>
          </w:p>
        </w:tc>
        <w:tc>
          <w:tcPr>
            <w:tcW w:w="0" w:type="dxa"/>
            <w:vAlign w:val="bottom"/>
          </w:tcPr>
          <w:p>
            <w:pPr>
              <w:spacing w:after="0"/>
              <w:rPr>
                <w:sz w:val="1"/>
                <w:szCs w:val="1"/>
                <w:color w:val="auto"/>
              </w:rPr>
            </w:pPr>
          </w:p>
        </w:tc>
      </w:tr>
      <w:tr>
        <w:trPr>
          <w:trHeight w:val="227"/>
        </w:trPr>
        <w:tc>
          <w:tcPr>
            <w:tcW w:w="57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Unvested PSUs</w:t>
            </w:r>
          </w:p>
        </w:tc>
        <w:tc>
          <w:tcPr>
            <w:tcW w:w="1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582</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979</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29"/>
        </w:trPr>
        <w:tc>
          <w:tcPr>
            <w:tcW w:w="57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Unvested restricted stock</w:t>
            </w:r>
          </w:p>
        </w:tc>
        <w:tc>
          <w:tcPr>
            <w:tcW w:w="10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2,905</w:t>
            </w:r>
          </w:p>
        </w:tc>
        <w:tc>
          <w:tcPr>
            <w:tcW w:w="80" w:type="dxa"/>
            <w:vAlign w:val="bottom"/>
            <w:tcBorders>
              <w:bottom w:val="single" w:sz="8" w:color="auto"/>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48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26"/>
        </w:trPr>
        <w:tc>
          <w:tcPr>
            <w:tcW w:w="5720" w:type="dxa"/>
            <w:vAlign w:val="bottom"/>
          </w:tcPr>
          <w:p>
            <w:pPr>
              <w:ind w:left="20"/>
              <w:spacing w:after="0" w:line="226" w:lineRule="exact"/>
              <w:rPr>
                <w:sz w:val="20"/>
                <w:szCs w:val="20"/>
                <w:color w:val="auto"/>
              </w:rPr>
            </w:pPr>
            <w:r>
              <w:rPr>
                <w:rFonts w:ascii="Times New Roman" w:cs="Times New Roman" w:eastAsia="Times New Roman" w:hAnsi="Times New Roman"/>
                <w:sz w:val="16"/>
                <w:szCs w:val="16"/>
                <w:color w:val="auto"/>
              </w:rPr>
              <w:t>Weighted average shares outstanding - diluted</w:t>
            </w:r>
            <w:r>
              <w:rPr>
                <w:rFonts w:ascii="Times New Roman" w:cs="Times New Roman" w:eastAsia="Times New Roman" w:hAnsi="Times New Roman"/>
                <w:sz w:val="21"/>
                <w:szCs w:val="21"/>
                <w:color w:val="auto"/>
                <w:vertAlign w:val="superscript"/>
              </w:rPr>
              <w:t>(2)</w:t>
            </w:r>
          </w:p>
        </w:tc>
        <w:tc>
          <w:tcPr>
            <w:tcW w:w="1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122,900</w:t>
            </w:r>
          </w:p>
        </w:tc>
        <w:tc>
          <w:tcPr>
            <w:tcW w:w="10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129,845</w:t>
            </w:r>
          </w:p>
        </w:tc>
        <w:tc>
          <w:tcPr>
            <w:tcW w:w="8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125,953</w:t>
            </w:r>
          </w:p>
        </w:tc>
        <w:tc>
          <w:tcPr>
            <w:tcW w:w="1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127,089</w:t>
            </w:r>
          </w:p>
        </w:tc>
        <w:tc>
          <w:tcPr>
            <w:tcW w:w="0" w:type="dxa"/>
            <w:vAlign w:val="bottom"/>
          </w:tcPr>
          <w:p>
            <w:pPr>
              <w:spacing w:after="0"/>
              <w:rPr>
                <w:sz w:val="1"/>
                <w:szCs w:val="1"/>
                <w:color w:val="auto"/>
              </w:rPr>
            </w:pPr>
          </w:p>
        </w:tc>
      </w:tr>
      <w:tr>
        <w:trPr>
          <w:trHeight w:val="20"/>
        </w:trPr>
        <w:tc>
          <w:tcPr>
            <w:tcW w:w="57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7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Net income (loss) per common share - basic</w:t>
            </w: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0.37</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0.00</w:t>
            </w:r>
          </w:p>
        </w:tc>
        <w:tc>
          <w:tcPr>
            <w:tcW w:w="80" w:type="dxa"/>
            <w:vAlign w:val="bottom"/>
          </w:tcPr>
          <w:p>
            <w:pPr>
              <w:spacing w:after="0"/>
              <w:rPr>
                <w:sz w:val="19"/>
                <w:szCs w:val="19"/>
                <w:color w:val="auto"/>
              </w:rPr>
            </w:pPr>
          </w:p>
        </w:tc>
        <w:tc>
          <w:tcPr>
            <w:tcW w:w="30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0.25</w:t>
            </w:r>
          </w:p>
        </w:tc>
        <w:tc>
          <w:tcPr>
            <w:tcW w:w="100" w:type="dxa"/>
            <w:vAlign w:val="bottom"/>
          </w:tcPr>
          <w:p>
            <w:pPr>
              <w:spacing w:after="0"/>
              <w:rPr>
                <w:sz w:val="19"/>
                <w:szCs w:val="19"/>
                <w:color w:val="auto"/>
              </w:rPr>
            </w:pPr>
          </w:p>
        </w:tc>
        <w:tc>
          <w:tcPr>
            <w:tcW w:w="480" w:type="dxa"/>
            <w:vAlign w:val="bottom"/>
            <w:tcBorders>
              <w:bottom w:val="single" w:sz="8" w:color="auto"/>
            </w:tcBorders>
          </w:tcPr>
          <w:p>
            <w:pPr>
              <w:jc w:val="right"/>
              <w:ind w:right="319"/>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(0.14)</w:t>
            </w:r>
          </w:p>
        </w:tc>
        <w:tc>
          <w:tcPr>
            <w:tcW w:w="0" w:type="dxa"/>
            <w:vAlign w:val="bottom"/>
          </w:tcPr>
          <w:p>
            <w:pPr>
              <w:spacing w:after="0"/>
              <w:rPr>
                <w:sz w:val="1"/>
                <w:szCs w:val="1"/>
                <w:color w:val="auto"/>
              </w:rPr>
            </w:pPr>
          </w:p>
        </w:tc>
      </w:tr>
      <w:tr>
        <w:trPr>
          <w:trHeight w:val="20"/>
        </w:trPr>
        <w:tc>
          <w:tcPr>
            <w:tcW w:w="57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57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Net income (loss) per common share - diluted</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0.37</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0.00</w:t>
            </w:r>
          </w:p>
        </w:tc>
        <w:tc>
          <w:tcPr>
            <w:tcW w:w="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0.25</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jc w:val="right"/>
              <w:ind w:right="319"/>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(0.14)</w:t>
            </w:r>
          </w:p>
        </w:tc>
        <w:tc>
          <w:tcPr>
            <w:tcW w:w="0" w:type="dxa"/>
            <w:vAlign w:val="bottom"/>
          </w:tcPr>
          <w:p>
            <w:pPr>
              <w:spacing w:after="0"/>
              <w:rPr>
                <w:sz w:val="1"/>
                <w:szCs w:val="1"/>
                <w:color w:val="auto"/>
              </w:rPr>
            </w:pPr>
          </w:p>
        </w:tc>
      </w:tr>
      <w:tr>
        <w:trPr>
          <w:trHeight w:val="20"/>
        </w:trPr>
        <w:tc>
          <w:tcPr>
            <w:tcW w:w="57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_________________________________________</w:t>
      </w:r>
    </w:p>
    <w:p>
      <w:pPr>
        <w:spacing w:after="0" w:line="17" w:lineRule="exact"/>
        <w:rPr>
          <w:sz w:val="20"/>
          <w:szCs w:val="20"/>
          <w:color w:val="auto"/>
        </w:rPr>
      </w:pPr>
    </w:p>
    <w:p>
      <w:pPr>
        <w:jc w:val="both"/>
        <w:ind w:left="340" w:hanging="332"/>
        <w:spacing w:after="0" w:line="260" w:lineRule="auto"/>
        <w:tabs>
          <w:tab w:leader="none" w:pos="332"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outstanding shares used to calculate the weighted average basic shares outstanding exclude 3,407,046 and 2,865,399 of restricted stock awards as of September 30, 2026 and September 30, 2025, net of forfeitures, respectively, as those shares were issued but were not vested and therefore, not considered outstanding for purposes of computing basic net income (loss) per common share.</w:t>
      </w:r>
    </w:p>
    <w:p>
      <w:pPr>
        <w:ind w:left="340" w:hanging="332"/>
        <w:spacing w:after="0" w:line="283" w:lineRule="auto"/>
        <w:tabs>
          <w:tab w:leader="none" w:pos="332"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calculation of diluted earnings per share for the nine months ended September 30, 2025, excludes the effect of weighted average unvested restricted shares of 2,874,546 as the effect would be antidilutive.</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15. Subsequent Events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BRSP 2026-FL4</w:t>
      </w:r>
    </w:p>
    <w:p>
      <w:pPr>
        <w:spacing w:after="0" w:line="146"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On October 16, 2026, the Company executed a $960.0 million securitization transaction, BRSP 2026-FL4, which resulted in the sale of $844.8 million of investment grade notes. The securitization reflects an initial advance rate of 88.0% at a weighted average coupon at issuance of Term SOFR+1.54% (before transaction costs) and is collateralized by a pool of 29 first-lien floating-rate mortgages secured by 38 properties. On October 19, 2026, the Company also redeemed the outstanding securities under BRSP 2024-FL2, including the investment grade bonds, which totaled $537.8 million.</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Dividends</w:t>
      </w:r>
    </w:p>
    <w:p>
      <w:pPr>
        <w:spacing w:after="0" w:line="16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October 2026, the Company paid a quarterly cash dividend of $0.16 per share of its Class A common stock for the quarter ended September 30, 2026, to stockholders of record as of September 30, 2026.</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Loan Originations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Subsequent to September 30, 2026, the Company originated one senior mortgage loan with a total commitment of $43.0 million.</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Real Estate Sale</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October 2026, the Company sold one multifamily property for total gross proceeds of $32.5 million.</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46" w:name="page47"/>
    <w:bookmarkEnd w:id="4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14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The following discussion should be read in conjunction with our unaudited consolidated financial statements and the accompanying notes thereto, which are included in Item 1 of this Quarterly Report, as well as the information contained in our Annual Report on Form 10-K for the year ended December 31, 2025, which is accessible on the SEC’s website at </w:t>
      </w:r>
      <w:r>
        <w:rPr>
          <w:rFonts w:ascii="Times New Roman" w:cs="Times New Roman" w:eastAsia="Times New Roman" w:hAnsi="Times New Roman"/>
          <w:sz w:val="18"/>
          <w:szCs w:val="18"/>
          <w:u w:val="single" w:color="auto"/>
          <w:color w:val="auto"/>
        </w:rPr>
        <w:t>www.sec.gov</w:t>
      </w:r>
      <w:r>
        <w:rPr>
          <w:rFonts w:ascii="Times New Roman" w:cs="Times New Roman" w:eastAsia="Times New Roman" w:hAnsi="Times New Roman"/>
          <w:sz w:val="18"/>
          <w:szCs w:val="18"/>
          <w:color w:val="auto"/>
        </w:rPr>
        <w:t>.</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Introduction</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are an internally-managed commercial real estate (“CRE”) credit real estate investment trust (“REIT”) focused on originating, acquiring, financing and managing a diversified portfolio consisting primarily of CRE debt investments. CRE debt investments primarily consist of senior mortgage loans, which is our primary investment strategy. Additionally, we may also selectively originate mezzanine loans and preferred equity investments, which may include profit participations. The mezzanine loans and preferred equity investments may be in conjunction with our origination of corresponding senior mortgages on the same properties.</w:t>
      </w:r>
    </w:p>
    <w:p>
      <w:pPr>
        <w:spacing w:after="0" w:line="102" w:lineRule="exact"/>
        <w:rPr>
          <w:sz w:val="20"/>
          <w:szCs w:val="20"/>
          <w:color w:val="auto"/>
        </w:rPr>
      </w:pPr>
    </w:p>
    <w:p>
      <w:pPr>
        <w:jc w:val="both"/>
        <w:spacing w:after="0" w:line="289" w:lineRule="auto"/>
        <w:rPr>
          <w:sz w:val="20"/>
          <w:szCs w:val="20"/>
          <w:color w:val="auto"/>
        </w:rPr>
      </w:pPr>
      <w:r>
        <w:rPr>
          <w:rFonts w:ascii="Times New Roman" w:cs="Times New Roman" w:eastAsia="Times New Roman" w:hAnsi="Times New Roman"/>
          <w:sz w:val="17"/>
          <w:szCs w:val="17"/>
          <w:color w:val="auto"/>
        </w:rPr>
        <w:t>We were organized in the state of Maryland on August 23, 2017 and maintain key offices in New York, New York and Los Angeles, California. We elected to be taxed as a REIT under the Internal Revenue Code of 1986, as amended, beginning with our taxable year ended December 31, 2018. We conduct all our activities and hold substantially all our assets and liabilities through our operating subsidiary, BrightSpire Capital Operating Company, LLC (the “OP”).</w:t>
      </w:r>
    </w:p>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Target Assets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investment strategy is to originate and selectively acquire our target assets, which consist of the following:</w:t>
      </w:r>
    </w:p>
    <w:p>
      <w:pPr>
        <w:spacing w:after="0" w:line="140" w:lineRule="exact"/>
        <w:rPr>
          <w:sz w:val="20"/>
          <w:szCs w:val="20"/>
          <w:color w:val="auto"/>
        </w:rPr>
      </w:pPr>
    </w:p>
    <w:p>
      <w:pPr>
        <w:jc w:val="both"/>
        <w:ind w:left="660" w:hanging="328"/>
        <w:spacing w:after="0" w:line="257" w:lineRule="auto"/>
        <w:tabs>
          <w:tab w:leader="none" w:pos="655" w:val="left"/>
        </w:tabs>
        <w:numPr>
          <w:ilvl w:val="0"/>
          <w:numId w:val="22"/>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 xml:space="preserve">Senior Loans. </w:t>
      </w:r>
      <w:r>
        <w:rPr>
          <w:rFonts w:ascii="Times New Roman" w:cs="Times New Roman" w:eastAsia="Times New Roman" w:hAnsi="Times New Roman"/>
          <w:sz w:val="18"/>
          <w:szCs w:val="18"/>
          <w:color w:val="auto"/>
        </w:rPr>
        <w:t>Our primary focus is originating and selectively acquiring senior loans that are backed by CRE assets. These loans are secured by a</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first mortgage lien on a commercial property and provide mortgage financing to a commercial property developer or owner. The loans may vary in duration, bear interest at a fixed or floating rate and amortize, if at all, over varying periods, often with a balloon payment of principal at maturity. Senior loans may include junior participations in our originated senior loans for which we have syndicated the senior participations to other investors and retained the junior participations for our portfolio. We believe these junior participations are more like the senior loans we originate than other loan types given their credit quality and risk profile.</w:t>
      </w:r>
    </w:p>
    <w:p>
      <w:pPr>
        <w:spacing w:after="0" w:line="114" w:lineRule="exact"/>
        <w:rPr>
          <w:rFonts w:ascii="Times New Roman" w:cs="Times New Roman" w:eastAsia="Times New Roman" w:hAnsi="Times New Roman"/>
          <w:sz w:val="18"/>
          <w:szCs w:val="18"/>
          <w:b w:val="1"/>
          <w:bCs w:val="1"/>
          <w:i w:val="1"/>
          <w:iCs w:val="1"/>
          <w:color w:val="auto"/>
        </w:rPr>
      </w:pPr>
    </w:p>
    <w:p>
      <w:pPr>
        <w:jc w:val="both"/>
        <w:ind w:left="660" w:hanging="328"/>
        <w:spacing w:after="0" w:line="259" w:lineRule="auto"/>
        <w:tabs>
          <w:tab w:leader="none" w:pos="655" w:val="left"/>
        </w:tabs>
        <w:numPr>
          <w:ilvl w:val="0"/>
          <w:numId w:val="22"/>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 xml:space="preserve">Mezzanine Loans. </w:t>
      </w:r>
      <w:r>
        <w:rPr>
          <w:rFonts w:ascii="Times New Roman" w:cs="Times New Roman" w:eastAsia="Times New Roman" w:hAnsi="Times New Roman"/>
          <w:sz w:val="18"/>
          <w:szCs w:val="18"/>
          <w:color w:val="auto"/>
        </w:rPr>
        <w:t>We may originate or acquire mezzanine loans, which are structurally subordinate to senior loans, but senior to the borrower’s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equity position. Generally, we will originate or acquire these loans if we believe we have the ability to protect our position and fund the first mortgage, if necessary. Mezzanine loans may be structured such that our return accrues and is added to the principal amount rather than paid on a current basis. We may also pursue equity participation opportunities in instances when the risk-reward characteristics of the investment warrant additional upside participation in the possible appreciation in value of the underlying assets securing the investment.</w:t>
      </w:r>
    </w:p>
    <w:p>
      <w:pPr>
        <w:spacing w:after="0" w:line="111" w:lineRule="exact"/>
        <w:rPr>
          <w:rFonts w:ascii="Times New Roman" w:cs="Times New Roman" w:eastAsia="Times New Roman" w:hAnsi="Times New Roman"/>
          <w:sz w:val="18"/>
          <w:szCs w:val="18"/>
          <w:b w:val="1"/>
          <w:bCs w:val="1"/>
          <w:i w:val="1"/>
          <w:iCs w:val="1"/>
          <w:color w:val="auto"/>
        </w:rPr>
      </w:pPr>
    </w:p>
    <w:p>
      <w:pPr>
        <w:jc w:val="both"/>
        <w:ind w:left="660" w:hanging="328"/>
        <w:spacing w:after="0" w:line="268" w:lineRule="auto"/>
        <w:tabs>
          <w:tab w:leader="none" w:pos="655" w:val="left"/>
        </w:tabs>
        <w:numPr>
          <w:ilvl w:val="0"/>
          <w:numId w:val="2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 xml:space="preserve">Preferred Equity. </w:t>
      </w:r>
      <w:r>
        <w:rPr>
          <w:rFonts w:ascii="Times New Roman" w:cs="Times New Roman" w:eastAsia="Times New Roman" w:hAnsi="Times New Roman"/>
          <w:sz w:val="18"/>
          <w:szCs w:val="18"/>
          <w:color w:val="auto"/>
        </w:rPr>
        <w:t>We may make investments that are subordinate to senior and mezzanine loans, but senior to the common equity in the mortgage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borrower. Preferred equity investments may be structured such that our return accrues and is added to the principal amount rather than paid on a current basis. We also may pursue equity participation opportunities in preferred equity investments, like such participations in mezzanine loans.</w:t>
      </w:r>
    </w:p>
    <w:p>
      <w:pPr>
        <w:spacing w:after="0" w:line="9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operating and reportable segments are Senior and Mezzanine Loans and Preferred Equity, and Net Leased and Other Real Estate and Corporate and Other.</w:t>
      </w:r>
    </w:p>
    <w:p>
      <w:pPr>
        <w:spacing w:after="0" w:line="9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allocation of our capital among our target assets will depend on prevailing market conditions at the time we invest and may change over time in response to different prevailing market conditions. In addition, in the future, we may invest in assets other than our target assets or change our target assets. With respect to all our investments, we invest so as to maintain our qualification as a REIT for U.S. federal income tax purposes and our exclusion or exemption from regulation under the Investment Company Act of 1940, as amended (the “Investment Company Act”).</w:t>
      </w:r>
    </w:p>
    <w:p>
      <w:pPr>
        <w:spacing w:after="0" w:line="11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believe that events in the financial markets from time to time have created and will continue to create dislocation between price and intrinsic value in certain asset classes as well as a supply and demand imbalance of available credit to finance these assets. We believe that our in-depth understanding of CRE and real estate-related investments, in-house underwriting, asset management, special servicing and resolution capabilities, provides an extensive platform to regularly evaluate our investments and determine primary, secondary or alternative disposition strategies. This includes intermediate servicing and negotiating, restructuring of non-performing investments, foreclosure considerations, management or development of owned real estate, in each case to reposition and achieve optimal value realization for us and our stockholders. Depending on the nature of the underlying investment, we may pursue repositioning strategies through judicious capital investment in order to extract</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maximum value from the investment or recognize unanticipated losses to reinvest resulting liquidity in higher-yielding performing investments.</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Business Segments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present our business through three operating and reportable segments:</w:t>
      </w:r>
    </w:p>
    <w:p>
      <w:pPr>
        <w:spacing w:after="0" w:line="158" w:lineRule="exact"/>
        <w:rPr>
          <w:sz w:val="20"/>
          <w:szCs w:val="20"/>
          <w:color w:val="auto"/>
        </w:rPr>
      </w:pPr>
    </w:p>
    <w:p>
      <w:pPr>
        <w:ind w:left="660" w:hanging="328"/>
        <w:spacing w:after="0" w:line="282" w:lineRule="auto"/>
        <w:tabs>
          <w:tab w:leader="none" w:pos="65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Senior and Mezzanine Loans and Preferred Equity—CRE debt investments including senior and mezzanine loans, and preferred equity interests as well as participations in such loans.</w:t>
      </w:r>
    </w:p>
    <w:p>
      <w:pPr>
        <w:spacing w:after="0" w:line="80" w:lineRule="exact"/>
        <w:rPr>
          <w:rFonts w:ascii="Times New Roman" w:cs="Times New Roman" w:eastAsia="Times New Roman" w:hAnsi="Times New Roman"/>
          <w:sz w:val="18"/>
          <w:szCs w:val="18"/>
          <w:color w:val="auto"/>
        </w:rPr>
      </w:pPr>
    </w:p>
    <w:p>
      <w:pPr>
        <w:jc w:val="both"/>
        <w:ind w:left="660" w:hanging="328"/>
        <w:spacing w:after="0" w:line="261" w:lineRule="auto"/>
        <w:tabs>
          <w:tab w:leader="none" w:pos="65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Leased and Other Real Estate—direct investments in commercial real estate with long-term leases to tenants on a net lease basis, where such tenants generally will be responsible for property operating expenses such as insurance, utilities, maintenance, capital expenditures and real estate taxes. It also includes other real estate, currently consisting of one investment with direct ownership in commercial real estate, four additional properties that we acquired through foreclosure or deed-in-lieu of foreclosure and one property that we consolidate as the primary beneficiary.</w:t>
      </w:r>
    </w:p>
    <w:p>
      <w:pPr>
        <w:spacing w:after="0" w:line="7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Corporate and Other—includes corporate-level asset management and other fees including expenses related to our secured revolving credit facility (the “Bank Credit Facility”) and compensation and benefits. It also includes money market income on our cash balances and a sub-portfolio of private equity funds.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Significant Developments</w:t>
      </w:r>
    </w:p>
    <w:p>
      <w:pPr>
        <w:spacing w:after="0" w:line="16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During the three months ended September 30, 2026, and through October 27, 2026, significant developments affecting our business and results of operations of our portfolio included the following:</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Capital Resources</w:t>
      </w:r>
    </w:p>
    <w:p>
      <w:pPr>
        <w:spacing w:after="0" w:line="158" w:lineRule="exact"/>
        <w:rPr>
          <w:sz w:val="20"/>
          <w:szCs w:val="20"/>
          <w:color w:val="auto"/>
        </w:rPr>
      </w:pPr>
    </w:p>
    <w:p>
      <w:pPr>
        <w:jc w:val="both"/>
        <w:ind w:left="660" w:hanging="328"/>
        <w:spacing w:after="0" w:line="255" w:lineRule="auto"/>
        <w:tabs>
          <w:tab w:leader="none" w:pos="65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October 16, 2026, we closed a $960.0 million securitization transaction, BRSP 2026-FL4. We placed $844.8 million of investment grade securities with institutional investors providing term financing on a non-mark-to-market, non-recourse basis. BRSP 2026-FL4 is collateralized by interests in 29 first-lien floating rate mortgages secured by 38 properties, with an 88.0% initial advance rate at a weighted average coupon at issuance of Term SOFR + 1.54%, before transaction costs;</w:t>
      </w:r>
    </w:p>
    <w:p>
      <w:pPr>
        <w:spacing w:after="0" w:line="2" w:lineRule="exact"/>
        <w:rPr>
          <w:rFonts w:ascii="Times New Roman" w:cs="Times New Roman" w:eastAsia="Times New Roman" w:hAnsi="Times New Roman"/>
          <w:sz w:val="18"/>
          <w:szCs w:val="18"/>
          <w:color w:val="auto"/>
        </w:rPr>
      </w:pPr>
    </w:p>
    <w:p>
      <w:pPr>
        <w:jc w:val="both"/>
        <w:ind w:left="660" w:hanging="328"/>
        <w:spacing w:after="0" w:line="250" w:lineRule="auto"/>
        <w:tabs>
          <w:tab w:leader="none" w:pos="65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October 19, 2026, we redeemed the outstanding securities under BRSP 2024-FL2, including the investment grade bonds, which totaled $537.8 million. The 26 senior loan investments, with an aggregate unpaid principal balance of $628.9 million, held by BRSP 2024-FL2 were refinanced by the issuance of securities under BRSP 2026-FL4 and with existing Master Repurchase Facilities;</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Declared and paid a third quarter dividend of $0.16 per share on October 14, 2026; and</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Under our Stock Repurchase Program, we have repurchased 2.1 million shares of our Class A common stock at an aggregate cost of $9.9 million.</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Our Portfolio</w:t>
      </w:r>
    </w:p>
    <w:p>
      <w:pPr>
        <w:spacing w:after="0" w:line="144" w:lineRule="exact"/>
        <w:rPr>
          <w:sz w:val="20"/>
          <w:szCs w:val="20"/>
          <w:color w:val="auto"/>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originated eight senior mortgage loans for a total commitment of $315.5 million;</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received loan repayment proceeds of $78.8 million from four loans;</w:t>
      </w:r>
    </w:p>
    <w:p>
      <w:pPr>
        <w:spacing w:after="0" w:line="9" w:lineRule="exact"/>
        <w:rPr>
          <w:rFonts w:ascii="Times New Roman" w:cs="Times New Roman" w:eastAsia="Times New Roman" w:hAnsi="Times New Roman"/>
          <w:sz w:val="18"/>
          <w:szCs w:val="18"/>
          <w:color w:val="auto"/>
        </w:rPr>
      </w:pPr>
    </w:p>
    <w:p>
      <w:pPr>
        <w:ind w:left="660" w:hanging="328"/>
        <w:spacing w:after="0" w:line="250" w:lineRule="auto"/>
        <w:tabs>
          <w:tab w:leader="none" w:pos="65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October 27, 2026, our watchlist (loans with a risk ranking of 4 or 5) consisted of the following (refer to “Our Portfolio” for further discussion):</w:t>
      </w:r>
    </w:p>
    <w:p>
      <w:pPr>
        <w:ind w:left="1300" w:hanging="320"/>
        <w:spacing w:after="0"/>
        <w:tabs>
          <w:tab w:leader="none" w:pos="1300"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Five loans with a risk ranking of 4 and total carrying value of $187.0 million;</w:t>
      </w:r>
    </w:p>
    <w:p>
      <w:pPr>
        <w:spacing w:after="0" w:line="9" w:lineRule="exact"/>
        <w:rPr>
          <w:rFonts w:ascii="Times New Roman" w:cs="Times New Roman" w:eastAsia="Times New Roman" w:hAnsi="Times New Roman"/>
          <w:sz w:val="18"/>
          <w:szCs w:val="18"/>
          <w:color w:val="auto"/>
        </w:rPr>
      </w:pPr>
    </w:p>
    <w:p>
      <w:pPr>
        <w:jc w:val="both"/>
        <w:ind w:left="660" w:hanging="328"/>
        <w:spacing w:after="0" w:line="250" w:lineRule="auto"/>
        <w:tabs>
          <w:tab w:leader="none" w:pos="65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general CECL reserve increased by $7.5 million from June 30, 2026 to September 30, 2026. At September 30, 2026, our general CECL reserve for our outstanding loans and future loan funding commitments is $107.2 million, which is 3.32% of the aggregate commitment amount of our loan portfolio;</w:t>
      </w:r>
    </w:p>
    <w:p>
      <w:pPr>
        <w:spacing w:after="0" w:line="1" w:lineRule="exact"/>
        <w:rPr>
          <w:rFonts w:ascii="Times New Roman" w:cs="Times New Roman" w:eastAsia="Times New Roman" w:hAnsi="Times New Roman"/>
          <w:sz w:val="18"/>
          <w:szCs w:val="18"/>
          <w:color w:val="auto"/>
        </w:rPr>
      </w:pPr>
    </w:p>
    <w:p>
      <w:pPr>
        <w:ind w:left="660" w:hanging="328"/>
        <w:spacing w:after="0" w:line="250" w:lineRule="auto"/>
        <w:tabs>
          <w:tab w:leader="none" w:pos="65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recorded specific CECL reserves of $7.8 million related to one office loan that was also charged off during the three months ended September 30, 2026. At September 30, 2026, there were no specific CECL reserves on our consolidated balance sheets;</w:t>
      </w:r>
    </w:p>
    <w:p>
      <w:pPr>
        <w:jc w:val="both"/>
        <w:ind w:left="660" w:hanging="328"/>
        <w:spacing w:after="0" w:line="250" w:lineRule="auto"/>
        <w:tabs>
          <w:tab w:leader="none" w:pos="65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Sold one industrial portfolio and one multifamily property for a total gross sales price of $325.1 million. In connection with the sales, we recognized a gain of $60.3 million on the industrial portfolio and recorded impairment of operating real estate of $1.8 million on the multifamily property;</w:t>
      </w:r>
    </w:p>
    <w:p>
      <w:pPr>
        <w:spacing w:after="0" w:line="1" w:lineRule="exact"/>
        <w:rPr>
          <w:rFonts w:ascii="Times New Roman" w:cs="Times New Roman" w:eastAsia="Times New Roman" w:hAnsi="Times New Roman"/>
          <w:sz w:val="18"/>
          <w:szCs w:val="18"/>
          <w:color w:val="auto"/>
        </w:rPr>
      </w:pPr>
    </w:p>
    <w:p>
      <w:pPr>
        <w:ind w:left="660" w:hanging="328"/>
        <w:spacing w:after="0" w:line="250" w:lineRule="auto"/>
        <w:tabs>
          <w:tab w:leader="none" w:pos="65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October 2026, we sold one multifamily property with a carry value of $32.0 million and recorded impairment of operating real estate of $0.8 million during the three months ended September 30, 2026; and</w:t>
      </w:r>
    </w:p>
    <w:p>
      <w:pPr>
        <w:ind w:left="660" w:hanging="328"/>
        <w:spacing w:after="0" w:line="260" w:lineRule="auto"/>
        <w:tabs>
          <w:tab w:leader="none" w:pos="65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Deconsolidated the assets and liabilities of one retail property following the loss of control and recorded impairment of operating real estate of $3.4 million.</w:t>
      </w: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Financial Results</w:t>
      </w:r>
    </w:p>
    <w:p>
      <w:pPr>
        <w:spacing w:after="0" w:line="144" w:lineRule="exact"/>
        <w:rPr>
          <w:sz w:val="20"/>
          <w:szCs w:val="20"/>
          <w:color w:val="auto"/>
        </w:rPr>
      </w:pPr>
    </w:p>
    <w:p>
      <w:pPr>
        <w:jc w:val="both"/>
        <w:ind w:left="660" w:hanging="328"/>
        <w:spacing w:after="0" w:line="261" w:lineRule="auto"/>
        <w:tabs>
          <w:tab w:leader="none" w:pos="655"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Generated GAAP net income of $46.9 million, or $0.37 per basic and diluted share, Distributable Earnings of $10.3 million or $0.08 per share and Adjusted Distributable Earnings of $17.8 million or $0.14 per share for the three months ended September 30, 2026. Distributable Earnings and Adjusted Distributable Earnings are non-GAAP financial measures. A reconciliation of these measures to net income attributable to the Company’s common stockholders is in the section “Non-GAAP Supplemental Financial Measures” below.</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Trends Affecting Our Business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Global Markets</w:t>
      </w:r>
    </w:p>
    <w:p>
      <w:pPr>
        <w:spacing w:after="0" w:line="146" w:lineRule="exact"/>
        <w:rPr>
          <w:sz w:val="20"/>
          <w:szCs w:val="20"/>
          <w:color w:val="auto"/>
        </w:rPr>
      </w:pPr>
    </w:p>
    <w:p>
      <w:pPr>
        <w:jc w:val="both"/>
        <w:spacing w:after="0" w:line="218" w:lineRule="exact"/>
        <w:rPr>
          <w:sz w:val="20"/>
          <w:szCs w:val="20"/>
          <w:color w:val="auto"/>
        </w:rPr>
      </w:pPr>
      <w:r>
        <w:rPr>
          <w:rFonts w:ascii="Times New Roman" w:cs="Times New Roman" w:eastAsia="Times New Roman" w:hAnsi="Times New Roman"/>
          <w:sz w:val="18"/>
          <w:szCs w:val="18"/>
          <w:color w:val="auto"/>
        </w:rPr>
        <w:t>Commercial real estate markets continue to be influenced by elevated interest rates, reduced transaction activity, uncertainty from the Administration’s tariff initiative and trade policy, ongoing geopolitical conflict in the Middle East, and persistent inflationary pressure, particularly in energy prices. In September 2026, the Federal Reserve raised the target range for the federal funds rate by 25 basis points to 3.75% - 4.00%, its first increase since 2023. Minutes of the September meeting indicate that most participants assessed that another increase would likely be appropriate by year-end, although future decisions are expected to depend on incoming information; it is uncertain as to if, when, in which direction, how many and by how much any subsequent changes in the federal funds rate will occur. Higher borrowing costs and conservative lending practices have pressured property valuations and refinancing activity, particularly for loans originated in prior low</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rate environments. To the extent certain of our borrowers are experiencing significant financial dislocation as a result of economic conditions, we have and may continue to use interest and other reserves and/or replenishment obligations of the borrower and/or guarantors to meet current interest payment obligations for a limited period.</w:t>
      </w:r>
    </w:p>
    <w:p>
      <w:pPr>
        <w:spacing w:after="0" w:line="137" w:lineRule="exact"/>
        <w:rPr>
          <w:sz w:val="20"/>
          <w:szCs w:val="20"/>
          <w:color w:val="auto"/>
        </w:rPr>
      </w:pPr>
    </w:p>
    <w:p>
      <w:pPr>
        <w:jc w:val="both"/>
        <w:spacing w:after="0" w:line="219" w:lineRule="exact"/>
        <w:rPr>
          <w:sz w:val="20"/>
          <w:szCs w:val="20"/>
          <w:color w:val="auto"/>
        </w:rPr>
      </w:pPr>
      <w:r>
        <w:rPr>
          <w:rFonts w:ascii="Times New Roman" w:cs="Times New Roman" w:eastAsia="Times New Roman" w:hAnsi="Times New Roman"/>
          <w:sz w:val="18"/>
          <w:szCs w:val="18"/>
          <w:color w:val="auto"/>
        </w:rPr>
        <w:t>Property fundamentals remain mixed by sector and geography. Multifamily and industrial assets have generally demonstrated more resilient performance, though rent growth has moderated in select markets. Other than in select cities such as Manhattan, NY, Dallas, TX and San Francisco, CA, office properties continue to face structural and demand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related challenges, which may adversely affect occupancy, cash flows, and valuations, particularly for older or less competitive assets. Given the continuing uncertainty in the office market, there is risk of future valuation impairment or investment loss on our loans secured by office properties. Similarly, these trends may impact our ability to manage debt covenant tests, maturity dates and/or seek suitable refinancing opportunities on certain of our office property equity investments, which may adversely impact valuation assessments and cash flow generated by such investments.</w:t>
      </w:r>
    </w:p>
    <w:p>
      <w:pPr>
        <w:spacing w:after="0" w:line="13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While macroeconomic conditions continue to be challenged, we cannot predict whether they will in fact improve or even intensify. Due to the inherent uncertainty of these conditions, their impact on our business is difficult to predict and quantify.</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Factors Impacting Our Operating Results</w:t>
      </w:r>
    </w:p>
    <w:p>
      <w:pPr>
        <w:spacing w:after="0" w:line="16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results of operations are affected by a number of factors and depend primarily on, among other things, the ability of the borrowers of our assets to service their debt as it is due and payable, the ability of our tenants to pay rent and other amounts due under their leases, our ability to actively and effectively service any sub-performing and non-performing loans and other assets we may have from time to time in our portfolio, the market value of our assets and the supply of, and demand for, CRE senior loans, mezzanine loans, preferred equity, net leased properties and our other assets, and the level of our net operating income (“NOI”). Our net interest income, which includes the amortization of origination and exit fees, varies primarily as a result of changes in market interest rates, prepayment rates and frequency on our CRE loans and the ability of our borrowers to make scheduled interest payments. Interest rates and prepayment rates vary according to the type of investment, conditions in the financial markets, creditworthiness of our borrowers, competition and other factors, none of which can be predicted with any certainty. Our net property operating income depends on our ability to maintain the historical occupancy rates of our real estate equity investments, lease currently available space and continue to attract new tenants.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Changes in fair value of our assets</w:t>
      </w:r>
    </w:p>
    <w:p>
      <w:pPr>
        <w:spacing w:after="0" w:line="14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consider and treat our assets as long-term investments. As a result, we do not expect that changes in market value will impact our operating results. However, at least on a quarterly basis, we assess both our ability and intent to hold such assets for the long-term. As part of this process, we monitor our assets for impairment. In addition, we maintain an allowance for credit losses on our financial assets in accordance with the CECL methodology, which requires us to estimate expected credit losses over the life of our loans and recognize provisions for loan losses earlier in the lending cycle. A change in our ability and/or intent to continue to hold any of our assets, which includes the inability to modify, extend or refinance existing mortgage debt on our real estate portfolio, may result in our recognizing an impairment charge, an increase in our CECL reserves or realizing losses upon the sale of such investments.</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Changes in market interest rates</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With respect to our business operations, increases in interest rates, in general, may over time cause:</w:t>
      </w:r>
    </w:p>
    <w:p>
      <w:pPr>
        <w:spacing w:after="0" w:line="225" w:lineRule="exact"/>
        <w:rPr>
          <w:sz w:val="20"/>
          <w:szCs w:val="20"/>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w:t>
      </w:r>
      <w:r>
        <w:rPr>
          <w:rFonts w:ascii="Times New Roman" w:cs="Times New Roman" w:eastAsia="Times New Roman" w:hAnsi="Times New Roman"/>
          <w:sz w:val="18"/>
          <w:szCs w:val="18"/>
          <w:color w:val="231F20"/>
        </w:rPr>
        <w:t>value</w:t>
      </w:r>
      <w:r>
        <w:rPr>
          <w:rFonts w:ascii="Times New Roman" w:cs="Times New Roman" w:eastAsia="Times New Roman" w:hAnsi="Times New Roman"/>
          <w:sz w:val="18"/>
          <w:szCs w:val="18"/>
          <w:color w:val="auto"/>
        </w:rPr>
        <w:t xml:space="preserve"> of our fixed-rate investments to decrease;</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 xml:space="preserve">prepayments </w:t>
      </w:r>
      <w:r>
        <w:rPr>
          <w:rFonts w:ascii="Times New Roman" w:cs="Times New Roman" w:eastAsia="Times New Roman" w:hAnsi="Times New Roman"/>
          <w:sz w:val="18"/>
          <w:szCs w:val="18"/>
          <w:color w:val="000000"/>
        </w:rPr>
        <w:t>on certain assets in our portfolio to slow, thereby slowing the amortization of origination and exit fees;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 xml:space="preserve">coupons </w:t>
      </w:r>
      <w:r>
        <w:rPr>
          <w:rFonts w:ascii="Times New Roman" w:cs="Times New Roman" w:eastAsia="Times New Roman" w:hAnsi="Times New Roman"/>
          <w:sz w:val="18"/>
          <w:szCs w:val="18"/>
          <w:color w:val="000000"/>
        </w:rPr>
        <w:t>on our floating and adjustable-rate mortgage loans to reset, although on a delayed basis, to higher interest rates;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interest rate caps required by our borrowers to increase in cost;</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borrowers’ unwillingness to purchase new interest rate caps at loan maturity to qualify for an extension;</w:t>
      </w:r>
    </w:p>
    <w:p>
      <w:pPr>
        <w:spacing w:after="0" w:line="117"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hardship to our borrowers, whose ability to service their debt as it is due and payable and to pass maturity extension tests may be materially adversely impacted, resulting in foreclosures;</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to </w:t>
      </w:r>
      <w:r>
        <w:rPr>
          <w:rFonts w:ascii="Times New Roman" w:cs="Times New Roman" w:eastAsia="Times New Roman" w:hAnsi="Times New Roman"/>
          <w:sz w:val="18"/>
          <w:szCs w:val="18"/>
          <w:color w:val="231F20"/>
        </w:rPr>
        <w:t>the</w:t>
      </w:r>
      <w:r>
        <w:rPr>
          <w:rFonts w:ascii="Times New Roman" w:cs="Times New Roman" w:eastAsia="Times New Roman" w:hAnsi="Times New Roman"/>
          <w:sz w:val="18"/>
          <w:szCs w:val="18"/>
          <w:color w:val="auto"/>
        </w:rPr>
        <w:t xml:space="preserve"> extent we use leverage to finance our assets, the interest expense associated with our borrowings to increase; and</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to </w:t>
      </w:r>
      <w:r>
        <w:rPr>
          <w:rFonts w:ascii="Times New Roman" w:cs="Times New Roman" w:eastAsia="Times New Roman" w:hAnsi="Times New Roman"/>
          <w:sz w:val="18"/>
          <w:szCs w:val="18"/>
          <w:color w:val="231F20"/>
        </w:rPr>
        <w:t>the</w:t>
      </w:r>
      <w:r>
        <w:rPr>
          <w:rFonts w:ascii="Times New Roman" w:cs="Times New Roman" w:eastAsia="Times New Roman" w:hAnsi="Times New Roman"/>
          <w:sz w:val="18"/>
          <w:szCs w:val="18"/>
          <w:color w:val="auto"/>
        </w:rPr>
        <w:t xml:space="preserve"> extent we enter into interest rate swap agreements as part of our hedging strategy, the value of these agreements to increase.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Conversely, decreases in interest rates, in general, may over time cause:</w:t>
      </w:r>
    </w:p>
    <w:p>
      <w:pPr>
        <w:spacing w:after="0" w:line="158" w:lineRule="exact"/>
        <w:rPr>
          <w:sz w:val="20"/>
          <w:szCs w:val="20"/>
          <w:color w:val="auto"/>
        </w:rPr>
      </w:pPr>
    </w:p>
    <w:p>
      <w:pPr>
        <w:ind w:left="660" w:hanging="328"/>
        <w:spacing w:after="0"/>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value of the fixed-rate assets in our portfolio to increase;</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prepayments on certain assets in our portfolio to increase, thereby accelerating the amortization of origination and exit fees;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to the extent we enter into interest rate swap agreements as part of our hedging strategy, the value of these agreements to decrease;</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coupons on our floating and adjustable-rate mortgage loans to reset, although on a delayed basis, to lower interest rates; and</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to the extent we use leverage to finance our assets, the interest expense associated with our borrowings to decrease.</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Credit risk</w:t>
      </w:r>
    </w:p>
    <w:p>
      <w:pPr>
        <w:spacing w:after="0" w:line="16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are subject to varying degrees of credit risk in connection with our target assets. We seek to mitigate this risk by seeking to acquire high quality assets, at appropriate prices given anticipated and unanticipated losses and by employing a comprehensive review and asset selection process and by careful ongoing monitoring of acquired assets. Nevertheless, unanticipated credit losses could occur, which could adversely impact our operating results.</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Size of investment portfolio</w:t>
      </w:r>
    </w:p>
    <w:p>
      <w:pPr>
        <w:spacing w:after="0" w:line="14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size of our portfolio, as measured by the aggregate principal balance of our commercial mortgage loans, other commercial real estate-related debt investments and the other assets we own, is also a key revenue driver. Generally, as the size of our portfolio grows, the amount of interest income we earn increases, but the amount of our expenses also increases to the extent that we incur additional interest expense to finance our assets.</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Portfolio</w:t>
      </w:r>
    </w:p>
    <w:p>
      <w:pPr>
        <w:spacing w:after="0" w:line="14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 of September 30, 2026, our portfolio consisted of 123 investments representing approximately $3.5 billion in carrying value (based on our share of ownership and excluding cash, cash equivalents and certain other assets). Our senior and mezzanine loans and preferred equity consisted of 111 investments with a weighted average cash coupon of 3.3% and a weighted average all-in unlevered yield of 7.4%. Our net leased and other real estate consisted of approximately 1.7 million total square feet of space and total third quarter 2026 NOI of that portfolio was approximately $6.9 million. Refer to “Non-GAAP Supplemental Financial Measures” below for further information on NOI.</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September 30, 2026, our portfolio consisted of the following investments (dollars in thousands):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940" w:type="dxa"/>
            <w:vAlign w:val="bottom"/>
          </w:tcPr>
          <w:p>
            <w:pPr>
              <w:spacing w:after="0"/>
              <w:rPr>
                <w:sz w:val="13"/>
                <w:szCs w:val="13"/>
                <w:color w:val="auto"/>
              </w:rPr>
            </w:pPr>
          </w:p>
        </w:tc>
        <w:tc>
          <w:tcPr>
            <w:tcW w:w="960" w:type="dxa"/>
            <w:vAlign w:val="bottom"/>
            <w:vMerge w:val="restart"/>
          </w:tcPr>
          <w:p>
            <w:pPr>
              <w:ind w:left="400"/>
              <w:spacing w:after="0"/>
              <w:rPr>
                <w:sz w:val="20"/>
                <w:szCs w:val="20"/>
                <w:color w:val="auto"/>
              </w:rPr>
            </w:pPr>
            <w:r>
              <w:rPr>
                <w:rFonts w:ascii="Times New Roman" w:cs="Times New Roman" w:eastAsia="Times New Roman" w:hAnsi="Times New Roman"/>
                <w:sz w:val="14"/>
                <w:szCs w:val="14"/>
                <w:b w:val="1"/>
                <w:bCs w:val="1"/>
                <w:color w:val="auto"/>
              </w:rPr>
              <w:t>Count</w:t>
            </w:r>
            <w:r>
              <w:rPr>
                <w:rFonts w:ascii="Times New Roman" w:cs="Times New Roman" w:eastAsia="Times New Roman" w:hAnsi="Times New Roman"/>
                <w:sz w:val="18"/>
                <w:szCs w:val="18"/>
                <w:b w:val="1"/>
                <w:bCs w:val="1"/>
                <w:color w:val="auto"/>
                <w:vertAlign w:val="superscript"/>
              </w:rPr>
              <w:t>(1)</w:t>
            </w:r>
          </w:p>
        </w:tc>
        <w:tc>
          <w:tcPr>
            <w:tcW w:w="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8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Carrying value</w:t>
            </w:r>
          </w:p>
        </w:tc>
        <w:tc>
          <w:tcPr>
            <w:tcW w:w="100" w:type="dxa"/>
            <w:vAlign w:val="bottom"/>
          </w:tcPr>
          <w:p>
            <w:pPr>
              <w:spacing w:after="0"/>
              <w:rPr>
                <w:sz w:val="13"/>
                <w:szCs w:val="13"/>
                <w:color w:val="auto"/>
              </w:rPr>
            </w:pPr>
          </w:p>
        </w:tc>
        <w:tc>
          <w:tcPr>
            <w:tcW w:w="132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Carrying value</w:t>
            </w:r>
          </w:p>
        </w:tc>
        <w:tc>
          <w:tcPr>
            <w:tcW w:w="140" w:type="dxa"/>
            <w:vAlign w:val="bottom"/>
          </w:tcPr>
          <w:p>
            <w:pPr>
              <w:spacing w:after="0"/>
              <w:rPr>
                <w:sz w:val="13"/>
                <w:szCs w:val="13"/>
                <w:color w:val="auto"/>
              </w:rPr>
            </w:pPr>
          </w:p>
        </w:tc>
        <w:tc>
          <w:tcPr>
            <w:tcW w:w="148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Net carrying value</w:t>
            </w:r>
          </w:p>
        </w:tc>
        <w:tc>
          <w:tcPr>
            <w:tcW w:w="1320" w:type="dxa"/>
            <w:vAlign w:val="bottom"/>
            <w:gridSpan w:val="2"/>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Net carrying value</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940" w:type="dxa"/>
            <w:vAlign w:val="bottom"/>
          </w:tcPr>
          <w:p>
            <w:pPr>
              <w:spacing w:after="0"/>
              <w:rPr>
                <w:sz w:val="17"/>
                <w:szCs w:val="17"/>
                <w:color w:val="auto"/>
              </w:rPr>
            </w:pPr>
          </w:p>
        </w:tc>
        <w:tc>
          <w:tcPr>
            <w:tcW w:w="960" w:type="dxa"/>
            <w:vAlign w:val="bottom"/>
            <w:vMerge w:val="continue"/>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8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(Consolidated)</w:t>
            </w:r>
          </w:p>
        </w:tc>
        <w:tc>
          <w:tcPr>
            <w:tcW w:w="100" w:type="dxa"/>
            <w:vAlign w:val="bottom"/>
          </w:tcPr>
          <w:p>
            <w:pPr>
              <w:spacing w:after="0"/>
              <w:rPr>
                <w:sz w:val="17"/>
                <w:szCs w:val="17"/>
                <w:color w:val="auto"/>
              </w:rPr>
            </w:pPr>
          </w:p>
        </w:tc>
        <w:tc>
          <w:tcPr>
            <w:tcW w:w="132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(at BRSP share)</w:t>
            </w:r>
            <w:r>
              <w:rPr>
                <w:rFonts w:ascii="Times New Roman" w:cs="Times New Roman" w:eastAsia="Times New Roman" w:hAnsi="Times New Roman"/>
                <w:sz w:val="9"/>
                <w:szCs w:val="9"/>
                <w:b w:val="1"/>
                <w:bCs w:val="1"/>
                <w:color w:val="auto"/>
              </w:rPr>
              <w:t>(2)</w:t>
            </w:r>
          </w:p>
        </w:tc>
        <w:tc>
          <w:tcPr>
            <w:tcW w:w="140" w:type="dxa"/>
            <w:vAlign w:val="bottom"/>
          </w:tcPr>
          <w:p>
            <w:pPr>
              <w:spacing w:after="0"/>
              <w:rPr>
                <w:sz w:val="17"/>
                <w:szCs w:val="17"/>
                <w:color w:val="auto"/>
              </w:rPr>
            </w:pPr>
          </w:p>
        </w:tc>
        <w:tc>
          <w:tcPr>
            <w:tcW w:w="148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(Consolidated)</w:t>
            </w:r>
            <w:r>
              <w:rPr>
                <w:rFonts w:ascii="Times New Roman" w:cs="Times New Roman" w:eastAsia="Times New Roman" w:hAnsi="Times New Roman"/>
                <w:sz w:val="9"/>
                <w:szCs w:val="9"/>
                <w:b w:val="1"/>
                <w:bCs w:val="1"/>
                <w:color w:val="auto"/>
              </w:rPr>
              <w:t>(3)</w:t>
            </w:r>
          </w:p>
        </w:tc>
        <w:tc>
          <w:tcPr>
            <w:tcW w:w="100" w:type="dxa"/>
            <w:vAlign w:val="bottom"/>
          </w:tcPr>
          <w:p>
            <w:pPr>
              <w:spacing w:after="0"/>
              <w:rPr>
                <w:sz w:val="17"/>
                <w:szCs w:val="17"/>
                <w:color w:val="auto"/>
              </w:rPr>
            </w:pPr>
          </w:p>
        </w:tc>
        <w:tc>
          <w:tcPr>
            <w:tcW w:w="1220" w:type="dxa"/>
            <w:vAlign w:val="bottom"/>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(at BRSP share)</w:t>
            </w:r>
            <w:r>
              <w:rPr>
                <w:rFonts w:ascii="Times New Roman" w:cs="Times New Roman" w:eastAsia="Times New Roman" w:hAnsi="Times New Roman"/>
                <w:sz w:val="9"/>
                <w:szCs w:val="9"/>
                <w:b w:val="1"/>
                <w:bCs w:val="1"/>
                <w:color w:val="auto"/>
              </w:rPr>
              <w:t>(4)</w:t>
            </w:r>
          </w:p>
        </w:tc>
        <w:tc>
          <w:tcPr>
            <w:tcW w:w="0" w:type="dxa"/>
            <w:vAlign w:val="bottom"/>
          </w:tcPr>
          <w:p>
            <w:pPr>
              <w:spacing w:after="0"/>
              <w:rPr>
                <w:sz w:val="1"/>
                <w:szCs w:val="1"/>
                <w:color w:val="auto"/>
              </w:rPr>
            </w:pPr>
          </w:p>
        </w:tc>
      </w:tr>
      <w:tr>
        <w:trPr>
          <w:trHeight w:val="176"/>
        </w:trPr>
        <w:tc>
          <w:tcPr>
            <w:tcW w:w="20" w:type="dxa"/>
            <w:vAlign w:val="bottom"/>
            <w:tcBorders>
              <w:top w:val="single" w:sz="8" w:color="CCEEFF"/>
            </w:tcBorders>
            <w:shd w:val="clear" w:color="auto" w:fill="CCEEFF"/>
          </w:tcPr>
          <w:p>
            <w:pPr>
              <w:spacing w:after="0"/>
              <w:rPr>
                <w:sz w:val="15"/>
                <w:szCs w:val="15"/>
                <w:color w:val="auto"/>
              </w:rPr>
            </w:pPr>
          </w:p>
        </w:tc>
        <w:tc>
          <w:tcPr>
            <w:tcW w:w="3780" w:type="dxa"/>
            <w:vAlign w:val="bottom"/>
            <w:tcBorders>
              <w:top w:val="single" w:sz="8" w:color="CCEEFF"/>
            </w:tcBorders>
            <w:gridSpan w:val="2"/>
            <w:shd w:val="clear" w:color="auto" w:fill="CCEEFF"/>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Our Portfolio</w:t>
            </w:r>
          </w:p>
        </w:tc>
        <w:tc>
          <w:tcPr>
            <w:tcW w:w="960" w:type="dxa"/>
            <w:vAlign w:val="bottom"/>
            <w:tcBorders>
              <w:top w:val="single" w:sz="8" w:color="auto"/>
            </w:tcBorders>
            <w:shd w:val="clear" w:color="auto" w:fill="CCEEFF"/>
          </w:tcPr>
          <w:p>
            <w:pPr>
              <w:spacing w:after="0"/>
              <w:rPr>
                <w:sz w:val="15"/>
                <w:szCs w:val="15"/>
                <w:color w:val="auto"/>
              </w:rPr>
            </w:pPr>
          </w:p>
        </w:tc>
        <w:tc>
          <w:tcPr>
            <w:tcW w:w="34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120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122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140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122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20" w:type="dxa"/>
            <w:vAlign w:val="bottom"/>
            <w:tcBorders>
              <w:top w:val="single" w:sz="8" w:color="CCEEFF"/>
            </w:tcBorders>
          </w:tcPr>
          <w:p>
            <w:pPr>
              <w:spacing w:after="0"/>
              <w:rPr>
                <w:sz w:val="16"/>
                <w:szCs w:val="16"/>
                <w:color w:val="auto"/>
              </w:rPr>
            </w:pPr>
          </w:p>
        </w:tc>
        <w:tc>
          <w:tcPr>
            <w:tcW w:w="8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4"/>
                <w:szCs w:val="14"/>
                <w:color w:val="auto"/>
              </w:rPr>
              <w:t>Senior loans</w:t>
            </w:r>
          </w:p>
        </w:tc>
        <w:tc>
          <w:tcPr>
            <w:tcW w:w="3900" w:type="dxa"/>
            <w:vAlign w:val="bottom"/>
            <w:tcBorders>
              <w:top w:val="single" w:sz="8" w:color="CCEEFF"/>
            </w:tcBorders>
            <w:gridSpan w:val="2"/>
          </w:tcPr>
          <w:p>
            <w:pPr>
              <w:spacing w:after="0"/>
              <w:rPr>
                <w:sz w:val="16"/>
                <w:szCs w:val="16"/>
                <w:color w:val="auto"/>
              </w:rPr>
            </w:pPr>
          </w:p>
        </w:tc>
        <w:tc>
          <w:tcPr>
            <w:tcW w:w="34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4"/>
                <w:szCs w:val="14"/>
                <w:color w:val="auto"/>
              </w:rPr>
              <w:t>99</w:t>
            </w:r>
          </w:p>
        </w:tc>
        <w:tc>
          <w:tcPr>
            <w:tcW w:w="100" w:type="dxa"/>
            <w:vAlign w:val="bottom"/>
            <w:tcBorders>
              <w:top w:val="single" w:sz="8" w:color="CCEEFF"/>
            </w:tcBorders>
          </w:tcPr>
          <w:p>
            <w:pPr>
              <w:spacing w:after="0"/>
              <w:rPr>
                <w:sz w:val="16"/>
                <w:szCs w:val="16"/>
                <w:color w:val="auto"/>
              </w:rPr>
            </w:pPr>
          </w:p>
        </w:tc>
        <w:tc>
          <w:tcPr>
            <w:tcW w:w="12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4"/>
                <w:szCs w:val="14"/>
                <w:color w:val="auto"/>
              </w:rPr>
              <w:t>3,047,731</w:t>
            </w:r>
          </w:p>
        </w:tc>
        <w:tc>
          <w:tcPr>
            <w:tcW w:w="80" w:type="dxa"/>
            <w:vAlign w:val="bottom"/>
            <w:tcBorders>
              <w:top w:val="single" w:sz="8" w:color="CCEEFF"/>
            </w:tcBorders>
          </w:tcPr>
          <w:p>
            <w:pPr>
              <w:spacing w:after="0"/>
              <w:rPr>
                <w:sz w:val="16"/>
                <w:szCs w:val="16"/>
                <w:color w:val="auto"/>
              </w:rPr>
            </w:pPr>
          </w:p>
        </w:tc>
        <w:tc>
          <w:tcPr>
            <w:tcW w:w="10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4"/>
                <w:szCs w:val="14"/>
                <w:color w:val="auto"/>
              </w:rPr>
              <w:t>3,047,731</w:t>
            </w:r>
          </w:p>
        </w:tc>
        <w:tc>
          <w:tcPr>
            <w:tcW w:w="100" w:type="dxa"/>
            <w:vAlign w:val="bottom"/>
            <w:tcBorders>
              <w:top w:val="single" w:sz="8" w:color="CCEEFF"/>
            </w:tcBorders>
          </w:tcPr>
          <w:p>
            <w:pPr>
              <w:spacing w:after="0"/>
              <w:rPr>
                <w:sz w:val="16"/>
                <w:szCs w:val="16"/>
                <w:color w:val="auto"/>
              </w:rPr>
            </w:pPr>
          </w:p>
        </w:tc>
        <w:tc>
          <w:tcPr>
            <w:tcW w:w="14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400" w:type="dxa"/>
            <w:vAlign w:val="bottom"/>
            <w:tcBorders>
              <w:top w:val="single" w:sz="8" w:color="CCEEFF"/>
            </w:tcBorders>
          </w:tcPr>
          <w:p>
            <w:pPr>
              <w:jc w:val="right"/>
              <w:ind w:right="8"/>
              <w:spacing w:after="0"/>
              <w:rPr>
                <w:sz w:val="20"/>
                <w:szCs w:val="20"/>
                <w:color w:val="auto"/>
              </w:rPr>
            </w:pPr>
            <w:r>
              <w:rPr>
                <w:rFonts w:ascii="Times New Roman" w:cs="Times New Roman" w:eastAsia="Times New Roman" w:hAnsi="Times New Roman"/>
                <w:sz w:val="14"/>
                <w:szCs w:val="14"/>
                <w:color w:val="auto"/>
              </w:rPr>
              <w:t>693,161</w:t>
            </w:r>
          </w:p>
        </w:tc>
        <w:tc>
          <w:tcPr>
            <w:tcW w:w="80" w:type="dxa"/>
            <w:vAlign w:val="bottom"/>
            <w:tcBorders>
              <w:top w:val="single" w:sz="8" w:color="CCEEFF"/>
            </w:tcBorders>
          </w:tcPr>
          <w:p>
            <w:pPr>
              <w:spacing w:after="0"/>
              <w:rPr>
                <w:sz w:val="16"/>
                <w:szCs w:val="16"/>
                <w:color w:val="auto"/>
              </w:rPr>
            </w:pPr>
          </w:p>
        </w:tc>
        <w:tc>
          <w:tcPr>
            <w:tcW w:w="10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4"/>
                <w:szCs w:val="14"/>
                <w:color w:val="auto"/>
              </w:rPr>
              <w:t>693,161</w:t>
            </w: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840" w:type="dxa"/>
            <w:vAlign w:val="bottom"/>
          </w:tcPr>
          <w:p>
            <w:pPr>
              <w:spacing w:after="0"/>
              <w:rPr>
                <w:sz w:val="2"/>
                <w:szCs w:val="2"/>
                <w:color w:val="auto"/>
              </w:rPr>
            </w:pPr>
          </w:p>
        </w:tc>
        <w:tc>
          <w:tcPr>
            <w:tcW w:w="2940" w:type="dxa"/>
            <w:vAlign w:val="bottom"/>
          </w:tcPr>
          <w:p>
            <w:pPr>
              <w:spacing w:after="0"/>
              <w:rPr>
                <w:sz w:val="2"/>
                <w:szCs w:val="2"/>
                <w:color w:val="auto"/>
              </w:rPr>
            </w:pPr>
          </w:p>
        </w:tc>
        <w:tc>
          <w:tcPr>
            <w:tcW w:w="9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Borders>
              <w:bottom w:val="single" w:sz="8" w:color="CCEEFF"/>
            </w:tcBorders>
            <w:shd w:val="clear" w:color="auto" w:fill="CCEEFF"/>
          </w:tcPr>
          <w:p>
            <w:pPr>
              <w:spacing w:after="0"/>
              <w:rPr>
                <w:sz w:val="17"/>
                <w:szCs w:val="17"/>
                <w:color w:val="auto"/>
              </w:rPr>
            </w:pPr>
          </w:p>
        </w:tc>
        <w:tc>
          <w:tcPr>
            <w:tcW w:w="474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Mezzanine loans</w:t>
            </w:r>
          </w:p>
        </w:tc>
        <w:tc>
          <w:tcPr>
            <w:tcW w:w="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15,105</w:t>
            </w:r>
          </w:p>
        </w:tc>
        <w:tc>
          <w:tcPr>
            <w:tcW w:w="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15,105</w:t>
            </w:r>
          </w:p>
        </w:tc>
        <w:tc>
          <w:tcPr>
            <w:tcW w:w="1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140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15,105</w:t>
            </w:r>
          </w:p>
        </w:tc>
        <w:tc>
          <w:tcPr>
            <w:tcW w:w="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15,105</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474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Preferred equity</w:t>
            </w:r>
          </w:p>
        </w:tc>
        <w:tc>
          <w:tcPr>
            <w:tcW w:w="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19,488</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19,488</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19,488</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19,488</w:t>
            </w:r>
          </w:p>
        </w:tc>
        <w:tc>
          <w:tcPr>
            <w:tcW w:w="0" w:type="dxa"/>
            <w:vAlign w:val="bottom"/>
          </w:tcPr>
          <w:p>
            <w:pPr>
              <w:spacing w:after="0"/>
              <w:rPr>
                <w:sz w:val="1"/>
                <w:szCs w:val="1"/>
                <w:color w:val="auto"/>
              </w:rPr>
            </w:pPr>
          </w:p>
        </w:tc>
      </w:tr>
      <w:tr>
        <w:trPr>
          <w:trHeight w:val="23"/>
        </w:trPr>
        <w:tc>
          <w:tcPr>
            <w:tcW w:w="20" w:type="dxa"/>
            <w:vAlign w:val="bottom"/>
            <w:tcBorders>
              <w:bottom w:val="single" w:sz="8" w:color="CCEEFF"/>
            </w:tcBorders>
          </w:tcPr>
          <w:p>
            <w:pPr>
              <w:spacing w:after="0"/>
              <w:rPr>
                <w:sz w:val="2"/>
                <w:szCs w:val="2"/>
                <w:color w:val="auto"/>
              </w:rPr>
            </w:pPr>
          </w:p>
        </w:tc>
        <w:tc>
          <w:tcPr>
            <w:tcW w:w="840" w:type="dxa"/>
            <w:vAlign w:val="bottom"/>
            <w:tcBorders>
              <w:bottom w:val="single" w:sz="8" w:color="CCEEFF"/>
            </w:tcBorders>
          </w:tcPr>
          <w:p>
            <w:pPr>
              <w:spacing w:after="0"/>
              <w:rPr>
                <w:sz w:val="2"/>
                <w:szCs w:val="2"/>
                <w:color w:val="auto"/>
              </w:rPr>
            </w:pPr>
          </w:p>
        </w:tc>
        <w:tc>
          <w:tcPr>
            <w:tcW w:w="294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9"/>
        </w:trPr>
        <w:tc>
          <w:tcPr>
            <w:tcW w:w="20" w:type="dxa"/>
            <w:vAlign w:val="bottom"/>
            <w:tcBorders>
              <w:bottom w:val="single" w:sz="8" w:color="CCEEFF"/>
            </w:tcBorders>
            <w:shd w:val="clear" w:color="auto" w:fill="CCEEFF"/>
          </w:tcPr>
          <w:p>
            <w:pPr>
              <w:spacing w:after="0"/>
              <w:rPr>
                <w:sz w:val="16"/>
                <w:szCs w:val="16"/>
                <w:color w:val="auto"/>
              </w:rPr>
            </w:pPr>
          </w:p>
        </w:tc>
        <w:tc>
          <w:tcPr>
            <w:tcW w:w="4740" w:type="dxa"/>
            <w:vAlign w:val="bottom"/>
            <w:tcBorders>
              <w:bottom w:val="single" w:sz="8" w:color="CCEEFF"/>
            </w:tcBorders>
            <w:gridSpan w:val="3"/>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Subtotal</w:t>
            </w:r>
          </w:p>
        </w:tc>
        <w:tc>
          <w:tcPr>
            <w:tcW w:w="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111</w:t>
            </w:r>
          </w:p>
        </w:tc>
        <w:tc>
          <w:tcPr>
            <w:tcW w:w="1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3,082,324</w:t>
            </w:r>
          </w:p>
        </w:tc>
        <w:tc>
          <w:tcPr>
            <w:tcW w:w="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3,082,324</w:t>
            </w:r>
          </w:p>
        </w:tc>
        <w:tc>
          <w:tcPr>
            <w:tcW w:w="10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140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727,754</w:t>
            </w:r>
          </w:p>
        </w:tc>
        <w:tc>
          <w:tcPr>
            <w:tcW w:w="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727,754</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474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Net leased real estate</w:t>
            </w:r>
          </w:p>
        </w:tc>
        <w:tc>
          <w:tcPr>
            <w:tcW w:w="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78,265</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78,265</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(5,182)</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(5,182)</w:t>
            </w: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840" w:type="dxa"/>
            <w:vAlign w:val="bottom"/>
          </w:tcPr>
          <w:p>
            <w:pPr>
              <w:spacing w:after="0"/>
              <w:rPr>
                <w:sz w:val="2"/>
                <w:szCs w:val="2"/>
                <w:color w:val="auto"/>
              </w:rPr>
            </w:pPr>
          </w:p>
        </w:tc>
        <w:tc>
          <w:tcPr>
            <w:tcW w:w="2940" w:type="dxa"/>
            <w:vAlign w:val="bottom"/>
          </w:tcPr>
          <w:p>
            <w:pPr>
              <w:spacing w:after="0"/>
              <w:rPr>
                <w:sz w:val="2"/>
                <w:szCs w:val="2"/>
                <w:color w:val="auto"/>
              </w:rPr>
            </w:pPr>
          </w:p>
        </w:tc>
        <w:tc>
          <w:tcPr>
            <w:tcW w:w="9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Borders>
              <w:bottom w:val="single" w:sz="8" w:color="CCEEFF"/>
            </w:tcBorders>
            <w:shd w:val="clear" w:color="auto" w:fill="CCEEFF"/>
          </w:tcPr>
          <w:p>
            <w:pPr>
              <w:spacing w:after="0"/>
              <w:rPr>
                <w:sz w:val="17"/>
                <w:szCs w:val="17"/>
                <w:color w:val="auto"/>
              </w:rPr>
            </w:pPr>
          </w:p>
        </w:tc>
        <w:tc>
          <w:tcPr>
            <w:tcW w:w="474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Other real estate</w:t>
            </w:r>
          </w:p>
        </w:tc>
        <w:tc>
          <w:tcPr>
            <w:tcW w:w="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370,535</w:t>
            </w:r>
          </w:p>
        </w:tc>
        <w:tc>
          <w:tcPr>
            <w:tcW w:w="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366,270</w:t>
            </w:r>
          </w:p>
        </w:tc>
        <w:tc>
          <w:tcPr>
            <w:tcW w:w="1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140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210,472</w:t>
            </w:r>
          </w:p>
        </w:tc>
        <w:tc>
          <w:tcPr>
            <w:tcW w:w="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210,978</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474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Private equity interests</w:t>
            </w:r>
          </w:p>
        </w:tc>
        <w:tc>
          <w:tcPr>
            <w:tcW w:w="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1,414</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1,414</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1,414</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1,414</w:t>
            </w:r>
          </w:p>
        </w:tc>
        <w:tc>
          <w:tcPr>
            <w:tcW w:w="0" w:type="dxa"/>
            <w:vAlign w:val="bottom"/>
          </w:tcPr>
          <w:p>
            <w:pPr>
              <w:spacing w:after="0"/>
              <w:rPr>
                <w:sz w:val="1"/>
                <w:szCs w:val="1"/>
                <w:color w:val="auto"/>
              </w:rPr>
            </w:pPr>
          </w:p>
        </w:tc>
      </w:tr>
      <w:tr>
        <w:trPr>
          <w:trHeight w:val="23"/>
        </w:trPr>
        <w:tc>
          <w:tcPr>
            <w:tcW w:w="20" w:type="dxa"/>
            <w:vAlign w:val="bottom"/>
            <w:tcBorders>
              <w:bottom w:val="single" w:sz="8" w:color="CCEEFF"/>
            </w:tcBorders>
          </w:tcPr>
          <w:p>
            <w:pPr>
              <w:spacing w:after="0"/>
              <w:rPr>
                <w:sz w:val="2"/>
                <w:szCs w:val="2"/>
                <w:color w:val="auto"/>
              </w:rPr>
            </w:pPr>
          </w:p>
        </w:tc>
        <w:tc>
          <w:tcPr>
            <w:tcW w:w="840" w:type="dxa"/>
            <w:vAlign w:val="bottom"/>
            <w:tcBorders>
              <w:bottom w:val="single" w:sz="8" w:color="CCEEFF"/>
            </w:tcBorders>
          </w:tcPr>
          <w:p>
            <w:pPr>
              <w:spacing w:after="0"/>
              <w:rPr>
                <w:sz w:val="2"/>
                <w:szCs w:val="2"/>
                <w:color w:val="auto"/>
              </w:rPr>
            </w:pPr>
          </w:p>
        </w:tc>
        <w:tc>
          <w:tcPr>
            <w:tcW w:w="294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47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Total</w:t>
            </w: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123</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3,532,538</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3,528,273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40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934,458</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934,964</w:t>
            </w:r>
          </w:p>
        </w:tc>
        <w:tc>
          <w:tcPr>
            <w:tcW w:w="0" w:type="dxa"/>
            <w:vAlign w:val="bottom"/>
          </w:tcPr>
          <w:p>
            <w:pPr>
              <w:spacing w:after="0"/>
              <w:rPr>
                <w:sz w:val="1"/>
                <w:szCs w:val="1"/>
                <w:color w:val="auto"/>
              </w:rPr>
            </w:pPr>
          </w:p>
        </w:tc>
      </w:tr>
      <w:tr>
        <w:trPr>
          <w:trHeight w:val="20"/>
        </w:trPr>
        <w:tc>
          <w:tcPr>
            <w:tcW w:w="3800" w:type="dxa"/>
            <w:vAlign w:val="bottom"/>
            <w:tcBorders>
              <w:top w:val="single" w:sz="8" w:color="CCEEFF"/>
              <w:bottom w:val="single" w:sz="8" w:color="CCEEFF"/>
            </w:tcBorders>
            <w:gridSpan w:val="3"/>
            <w:vMerge w:val="restart"/>
          </w:tcPr>
          <w:p>
            <w:pPr>
              <w:jc w:val="right"/>
              <w:ind w:right="920"/>
              <w:spacing w:after="0"/>
              <w:rPr>
                <w:sz w:val="20"/>
                <w:szCs w:val="20"/>
                <w:color w:val="auto"/>
              </w:rPr>
            </w:pPr>
            <w:r>
              <w:rPr>
                <w:rFonts w:ascii="Times New Roman" w:cs="Times New Roman" w:eastAsia="Times New Roman" w:hAnsi="Times New Roman"/>
                <w:sz w:val="14"/>
                <w:szCs w:val="14"/>
                <w:color w:val="auto"/>
              </w:rPr>
              <w:t>________________________________________</w:t>
            </w:r>
          </w:p>
        </w:tc>
        <w:tc>
          <w:tcPr>
            <w:tcW w:w="9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3800" w:type="dxa"/>
            <w:vAlign w:val="bottom"/>
            <w:gridSpan w:val="3"/>
            <w:vMerge w:val="continue"/>
          </w:tcPr>
          <w:p>
            <w:pPr>
              <w:spacing w:after="0"/>
              <w:rPr>
                <w:sz w:val="19"/>
                <w:szCs w:val="19"/>
                <w:color w:val="auto"/>
              </w:rPr>
            </w:pPr>
          </w:p>
        </w:tc>
        <w:tc>
          <w:tcPr>
            <w:tcW w:w="9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ind w:left="320" w:hanging="312"/>
        <w:spacing w:after="0"/>
        <w:tabs>
          <w:tab w:leader="none" w:pos="320"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Count for net leased real estate and other real estate represents number of investments.</w:t>
      </w:r>
    </w:p>
    <w:p>
      <w:pPr>
        <w:spacing w:after="0" w:line="14" w:lineRule="exact"/>
        <w:rPr>
          <w:rFonts w:ascii="Times New Roman" w:cs="Times New Roman" w:eastAsia="Times New Roman" w:hAnsi="Times New Roman"/>
          <w:sz w:val="14"/>
          <w:szCs w:val="14"/>
          <w:color w:val="auto"/>
        </w:rPr>
      </w:pPr>
    </w:p>
    <w:p>
      <w:pPr>
        <w:ind w:left="320" w:hanging="312"/>
        <w:spacing w:after="0"/>
        <w:tabs>
          <w:tab w:leader="none" w:pos="320"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Carrying value at our share represents the proportionate carrying value based on ownership by asset as of September 30, 2026.</w:t>
      </w:r>
    </w:p>
    <w:p>
      <w:pPr>
        <w:spacing w:after="0" w:line="14" w:lineRule="exact"/>
        <w:rPr>
          <w:rFonts w:ascii="Times New Roman" w:cs="Times New Roman" w:eastAsia="Times New Roman" w:hAnsi="Times New Roman"/>
          <w:sz w:val="14"/>
          <w:szCs w:val="14"/>
          <w:color w:val="auto"/>
        </w:rPr>
      </w:pPr>
    </w:p>
    <w:p>
      <w:pPr>
        <w:ind w:left="320" w:hanging="312"/>
        <w:spacing w:after="0"/>
        <w:tabs>
          <w:tab w:leader="none" w:pos="320"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Net carrying value represents carrying value less any associated financing as of September 30, 2026.</w:t>
      </w:r>
    </w:p>
    <w:p>
      <w:pPr>
        <w:spacing w:after="0" w:line="4" w:lineRule="exact"/>
        <w:rPr>
          <w:rFonts w:ascii="Times New Roman" w:cs="Times New Roman" w:eastAsia="Times New Roman" w:hAnsi="Times New Roman"/>
          <w:sz w:val="14"/>
          <w:szCs w:val="14"/>
          <w:color w:val="auto"/>
        </w:rPr>
      </w:pPr>
    </w:p>
    <w:p>
      <w:pPr>
        <w:ind w:left="320" w:hanging="312"/>
        <w:spacing w:after="0"/>
        <w:tabs>
          <w:tab w:leader="none" w:pos="320"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Net carrying value at our share represents the proportionate carrying value based on asset ownership less any associated financing based on ownership as of September 30, 2026</w:t>
      </w:r>
      <w:r>
        <w:rPr>
          <w:rFonts w:ascii="Times New Roman" w:cs="Times New Roman" w:eastAsia="Times New Roman" w:hAnsi="Times New Roman"/>
          <w:sz w:val="14"/>
          <w:szCs w:val="14"/>
          <w:b w:val="1"/>
          <w:bCs w:val="1"/>
          <w:color w:val="auto"/>
        </w:rPr>
        <w:t>.</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Underwriting Process</w:t>
      </w:r>
    </w:p>
    <w:p>
      <w:pPr>
        <w:spacing w:after="0" w:line="16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use an investment and underwriting process that has been developed by our senior management team leveraging their extensive commercial real estate expertise over many years and real estate cycles. The underwriting process focuses on some or all of the following factors designed to ensure each investment is evaluated appropriately: (i) macroeconomic conditions that may influence operating performance; (ii) fundamental analysis of underlying real estate, including tenant rosters, lease terms, zoning, necessary licensing, operating costs and the asset’s overall competitive position in its market; (iii) real estate market factors that may influence the economic performance of the investment, including leasing conditions and overall competition; (iv) the operating expertise and financial strength and reputation of a tenant, operator, partner or borrower; (v) the cash flow in place and projected to be in place over the term of the investment and potential return; (vi) the appropriateness of the business plan and estimated costs associated with tenant buildout, repositioning or capital improvements; (vii) an internal and third-party valuation of a property, investment basis relative to the competitive set and the ability to liquidate an investment through a sale or refinancing; (viii) review of third-party reports including appraisals, engineering and environmental reports; (ix) physical inspections of properties and markets; (x) the overall legal structure of the investment, contractual implications and the lenders’ rights; and (xi) the tax and accounting impact.</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Loan Risk Rankings</w:t>
      </w:r>
    </w:p>
    <w:p>
      <w:pPr>
        <w:spacing w:after="0" w:line="16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connection with developing the CECL reserve for our loans and preferred equity held for investment, we determine the risk ranking of each loan and preferred equity investment as a key credit quality indicator. The risk rankings are based on a variety of factors, including, without limitation, underlying real estate performance and asset value, values of comparable properties, durability and quality of property cash flows, borrower/sponsor experience and financial wherewithal, and the existence of a risk-mitigating loan structure. Additional key considerations include loan-to-value ratios, debt service coverage ratios, loan structure, real estate and credit market dynamics, and risk of default or principal loss. Based on a five-point scale, our loans and preferred equity held for investment are rated “1” through “5,” from less risk to greater risk, and the ratings are updated quarterly. At the time of origination or purchase, loans and preferred equity held for investment are ranked as a “3” and will move accordingly going forward based on the ratings which are defined as follows:</w:t>
      </w:r>
    </w:p>
    <w:p>
      <w:pPr>
        <w:spacing w:after="0" w:line="122" w:lineRule="exact"/>
        <w:rPr>
          <w:sz w:val="20"/>
          <w:szCs w:val="20"/>
          <w:color w:val="auto"/>
        </w:rPr>
      </w:pPr>
    </w:p>
    <w:p>
      <w:pPr>
        <w:ind w:left="980" w:hanging="324"/>
        <w:spacing w:after="0"/>
        <w:tabs>
          <w:tab w:leader="none" w:pos="9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Very Low Risk</w:t>
      </w:r>
    </w:p>
    <w:p>
      <w:pPr>
        <w:spacing w:after="0" w:line="144"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Low Risk</w:t>
      </w:r>
    </w:p>
    <w:p>
      <w:pPr>
        <w:spacing w:after="0" w:line="15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Medium Risk</w:t>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1" w:lineRule="exact"/>
        <w:rPr>
          <w:sz w:val="20"/>
          <w:szCs w:val="20"/>
          <w:color w:val="auto"/>
        </w:rPr>
      </w:pPr>
    </w:p>
    <w:p>
      <w:pPr>
        <w:ind w:left="980" w:hanging="324"/>
        <w:spacing w:after="0"/>
        <w:tabs>
          <w:tab w:leader="none" w:pos="9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High Risk/Potential for Loss—</w:t>
      </w:r>
      <w:r>
        <w:rPr>
          <w:rFonts w:ascii="Times New Roman" w:cs="Times New Roman" w:eastAsia="Times New Roman" w:hAnsi="Times New Roman"/>
          <w:sz w:val="18"/>
          <w:szCs w:val="18"/>
          <w:color w:val="auto"/>
        </w:rPr>
        <w:t>A loan that has a high risk of realizing a principal loss.</w:t>
      </w:r>
    </w:p>
    <w:p>
      <w:pPr>
        <w:spacing w:after="0" w:line="15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Impaired/Loss Likely—</w:t>
      </w:r>
      <w:r>
        <w:rPr>
          <w:rFonts w:ascii="Times New Roman" w:cs="Times New Roman" w:eastAsia="Times New Roman" w:hAnsi="Times New Roman"/>
          <w:sz w:val="18"/>
          <w:szCs w:val="18"/>
          <w:color w:val="auto"/>
        </w:rPr>
        <w:t>A loan that has a very high risk of realizing a principal loss or has otherwise incurred a principal loss.</w:t>
      </w:r>
    </w:p>
    <w:p>
      <w:pPr>
        <w:spacing w:after="0" w:line="146"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At September 30, 2026, our weighted average risk ranking increased to 3.1 compared to 3.0 at June 30, 2026. During the third quarter of 2026, we had the following risk ranking activity for risk ranked 4 and 5 assets:</w:t>
      </w:r>
    </w:p>
    <w:p>
      <w:pPr>
        <w:spacing w:after="0" w:line="94" w:lineRule="exact"/>
        <w:rPr>
          <w:sz w:val="20"/>
          <w:szCs w:val="20"/>
          <w:color w:val="auto"/>
        </w:rPr>
      </w:pPr>
    </w:p>
    <w:p>
      <w:pPr>
        <w:ind w:left="660" w:hanging="328"/>
        <w:spacing w:after="0"/>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One office loan with a risk ranking of 4 was repaid;</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Downgrades: Two office loans were downgraded to a risk ranking of 4 from a risk ranking of 3.</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Senior and Mezzanine Loans and Preferred Equity</w:t>
      </w:r>
    </w:p>
    <w:p>
      <w:pPr>
        <w:spacing w:after="0" w:line="148"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following tables provide a summary of our senior and mezzanine loans and preferred equity based on our internal risk rankings, collateral property type and geographic distribution as of September 30, 2026 (dollars in thousands):</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000" w:type="dxa"/>
            <w:vAlign w:val="bottom"/>
            <w:gridSpan w:val="5"/>
          </w:tcPr>
          <w:p>
            <w:pPr>
              <w:ind w:left="280"/>
              <w:spacing w:after="0"/>
              <w:rPr>
                <w:sz w:val="20"/>
                <w:szCs w:val="20"/>
                <w:color w:val="auto"/>
              </w:rPr>
            </w:pPr>
            <w:r>
              <w:rPr>
                <w:rFonts w:ascii="Times New Roman" w:cs="Times New Roman" w:eastAsia="Times New Roman" w:hAnsi="Times New Roman"/>
                <w:sz w:val="14"/>
                <w:szCs w:val="14"/>
                <w:b w:val="1"/>
                <w:bCs w:val="1"/>
                <w:color w:val="auto"/>
              </w:rPr>
              <w:t>Carrying Value (at BRSP share)</w:t>
            </w:r>
            <w:r>
              <w:rPr>
                <w:rFonts w:ascii="Times New Roman" w:cs="Times New Roman" w:eastAsia="Times New Roman" w:hAnsi="Times New Roman"/>
                <w:sz w:val="9"/>
                <w:szCs w:val="9"/>
                <w:b w:val="1"/>
                <w:bCs w:val="1"/>
                <w:color w:val="auto"/>
              </w:rPr>
              <w:t>(1)</w:t>
            </w:r>
          </w:p>
        </w:tc>
        <w:tc>
          <w:tcPr>
            <w:tcW w:w="3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160" w:type="dxa"/>
            <w:vAlign w:val="bottom"/>
            <w:gridSpan w:val="2"/>
            <w:vMerge w:val="restart"/>
          </w:tcPr>
          <w:p>
            <w:pPr>
              <w:ind w:left="620"/>
              <w:spacing w:after="0"/>
              <w:rPr>
                <w:sz w:val="20"/>
                <w:szCs w:val="20"/>
                <w:color w:val="auto"/>
              </w:rPr>
            </w:pPr>
            <w:r>
              <w:rPr>
                <w:rFonts w:ascii="Times New Roman" w:cs="Times New Roman" w:eastAsia="Times New Roman" w:hAnsi="Times New Roman"/>
                <w:sz w:val="14"/>
                <w:szCs w:val="14"/>
                <w:b w:val="1"/>
                <w:bCs w:val="1"/>
                <w:color w:val="auto"/>
              </w:rPr>
              <w:t>Risk Ranking</w:t>
            </w:r>
          </w:p>
        </w:tc>
        <w:tc>
          <w:tcPr>
            <w:tcW w:w="1220" w:type="dxa"/>
            <w:vAlign w:val="bottom"/>
            <w:gridSpan w:val="2"/>
            <w:vMerge w:val="restart"/>
          </w:tcPr>
          <w:p>
            <w:pPr>
              <w:ind w:left="360"/>
              <w:spacing w:after="0"/>
              <w:rPr>
                <w:sz w:val="20"/>
                <w:szCs w:val="20"/>
                <w:color w:val="auto"/>
              </w:rPr>
            </w:pPr>
            <w:r>
              <w:rPr>
                <w:rFonts w:ascii="Times New Roman" w:cs="Times New Roman" w:eastAsia="Times New Roman" w:hAnsi="Times New Roman"/>
                <w:sz w:val="14"/>
                <w:szCs w:val="14"/>
                <w:b w:val="1"/>
                <w:bCs w:val="1"/>
                <w:color w:val="auto"/>
              </w:rPr>
              <w:t>Count</w:t>
            </w:r>
          </w:p>
        </w:tc>
        <w:tc>
          <w:tcPr>
            <w:tcW w:w="2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gridSpan w:val="2"/>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40" w:type="dxa"/>
            <w:vAlign w:val="bottom"/>
            <w:vMerge w:val="restart"/>
          </w:tcPr>
          <w:p>
            <w:pPr>
              <w:jc w:val="right"/>
              <w:ind w:right="428"/>
              <w:spacing w:after="0"/>
              <w:rPr>
                <w:sz w:val="20"/>
                <w:szCs w:val="20"/>
                <w:color w:val="auto"/>
              </w:rPr>
            </w:pPr>
            <w:r>
              <w:rPr>
                <w:rFonts w:ascii="Times New Roman" w:cs="Times New Roman" w:eastAsia="Times New Roman" w:hAnsi="Times New Roman"/>
                <w:sz w:val="14"/>
                <w:szCs w:val="14"/>
                <w:b w:val="1"/>
                <w:bCs w:val="1"/>
                <w:color w:val="auto"/>
              </w:rPr>
              <w:t>% of Total</w:t>
            </w:r>
          </w:p>
        </w:tc>
        <w:tc>
          <w:tcPr>
            <w:tcW w:w="0" w:type="dxa"/>
            <w:vAlign w:val="bottom"/>
          </w:tcPr>
          <w:p>
            <w:pPr>
              <w:spacing w:after="0"/>
              <w:rPr>
                <w:sz w:val="1"/>
                <w:szCs w:val="1"/>
                <w:color w:val="auto"/>
              </w:rPr>
            </w:pPr>
          </w:p>
        </w:tc>
      </w:tr>
      <w:tr>
        <w:trPr>
          <w:trHeight w:val="186"/>
        </w:trPr>
        <w:tc>
          <w:tcPr>
            <w:tcW w:w="2160" w:type="dxa"/>
            <w:vAlign w:val="bottom"/>
            <w:gridSpan w:val="2"/>
            <w:vMerge w:val="continue"/>
          </w:tcPr>
          <w:p>
            <w:pPr>
              <w:spacing w:after="0"/>
              <w:rPr>
                <w:sz w:val="16"/>
                <w:szCs w:val="16"/>
                <w:color w:val="auto"/>
              </w:rPr>
            </w:pPr>
          </w:p>
        </w:tc>
        <w:tc>
          <w:tcPr>
            <w:tcW w:w="122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134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Senior loans</w:t>
            </w:r>
          </w:p>
        </w:tc>
        <w:tc>
          <w:tcPr>
            <w:tcW w:w="160" w:type="dxa"/>
            <w:vAlign w:val="bottom"/>
          </w:tcPr>
          <w:p>
            <w:pPr>
              <w:spacing w:after="0"/>
              <w:rPr>
                <w:sz w:val="16"/>
                <w:szCs w:val="16"/>
                <w:color w:val="auto"/>
              </w:rPr>
            </w:pPr>
          </w:p>
        </w:tc>
        <w:tc>
          <w:tcPr>
            <w:tcW w:w="142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Mezzanine loans</w:t>
            </w:r>
          </w:p>
        </w:tc>
        <w:tc>
          <w:tcPr>
            <w:tcW w:w="160" w:type="dxa"/>
            <w:vAlign w:val="bottom"/>
          </w:tcPr>
          <w:p>
            <w:pPr>
              <w:spacing w:after="0"/>
              <w:rPr>
                <w:sz w:val="16"/>
                <w:szCs w:val="16"/>
                <w:color w:val="auto"/>
              </w:rPr>
            </w:pPr>
          </w:p>
        </w:tc>
        <w:tc>
          <w:tcPr>
            <w:tcW w:w="142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Preferred equity</w:t>
            </w:r>
          </w:p>
        </w:tc>
        <w:tc>
          <w:tcPr>
            <w:tcW w:w="320" w:type="dxa"/>
            <w:vAlign w:val="bottom"/>
          </w:tcPr>
          <w:p>
            <w:pPr>
              <w:spacing w:after="0"/>
              <w:rPr>
                <w:sz w:val="16"/>
                <w:szCs w:val="16"/>
                <w:color w:val="auto"/>
              </w:rPr>
            </w:pPr>
          </w:p>
        </w:tc>
        <w:tc>
          <w:tcPr>
            <w:tcW w:w="1160" w:type="dxa"/>
            <w:vAlign w:val="bottom"/>
            <w:gridSpan w:val="2"/>
          </w:tcPr>
          <w:p>
            <w:pPr>
              <w:ind w:left="2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6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9"/>
        </w:trPr>
        <w:tc>
          <w:tcPr>
            <w:tcW w:w="2060" w:type="dxa"/>
            <w:vAlign w:val="bottom"/>
            <w:tcBorders>
              <w:bottom w:val="single" w:sz="8" w:color="CCEEFF"/>
            </w:tcBorders>
            <w:shd w:val="clear" w:color="auto" w:fill="CCEEFF"/>
          </w:tcPr>
          <w:p>
            <w:pPr>
              <w:jc w:val="right"/>
              <w:ind w:right="934"/>
              <w:spacing w:after="0"/>
              <w:rPr>
                <w:sz w:val="20"/>
                <w:szCs w:val="20"/>
                <w:color w:val="auto"/>
              </w:rPr>
            </w:pPr>
            <w:r>
              <w:rPr>
                <w:rFonts w:ascii="Times New Roman" w:cs="Times New Roman" w:eastAsia="Times New Roman" w:hAnsi="Times New Roman"/>
                <w:sz w:val="14"/>
                <w:szCs w:val="14"/>
                <w:color w:val="auto"/>
              </w:rPr>
              <w:t>3</w:t>
            </w:r>
          </w:p>
        </w:tc>
        <w:tc>
          <w:tcPr>
            <w:tcW w:w="100" w:type="dxa"/>
            <w:vAlign w:val="bottom"/>
            <w:tcBorders>
              <w:bottom w:val="single" w:sz="8" w:color="CCEEFF"/>
            </w:tcBorders>
            <w:shd w:val="clear" w:color="auto" w:fill="CCEEFF"/>
          </w:tcPr>
          <w:p>
            <w:pPr>
              <w:spacing w:after="0"/>
              <w:rPr>
                <w:sz w:val="16"/>
                <w:szCs w:val="16"/>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103</w:t>
            </w:r>
          </w:p>
        </w:tc>
        <w:tc>
          <w:tcPr>
            <w:tcW w:w="10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2,865,905</w:t>
            </w:r>
          </w:p>
        </w:tc>
        <w:tc>
          <w:tcPr>
            <w:tcW w:w="10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15,105</w:t>
            </w:r>
          </w:p>
        </w:tc>
        <w:tc>
          <w:tcPr>
            <w:tcW w:w="10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14,356</w:t>
            </w:r>
          </w:p>
        </w:tc>
        <w:tc>
          <w:tcPr>
            <w:tcW w:w="10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CCEEFF"/>
            </w:tcBorders>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2,895,366</w:t>
            </w:r>
          </w:p>
        </w:tc>
        <w:tc>
          <w:tcPr>
            <w:tcW w:w="100" w:type="dxa"/>
            <w:vAlign w:val="bottom"/>
            <w:tcBorders>
              <w:bottom w:val="single" w:sz="8" w:color="CCEEFF"/>
            </w:tcBorders>
            <w:shd w:val="clear" w:color="auto" w:fill="CCEEFF"/>
          </w:tcPr>
          <w:p>
            <w:pPr>
              <w:spacing w:after="0"/>
              <w:rPr>
                <w:sz w:val="16"/>
                <w:szCs w:val="16"/>
                <w:color w:val="auto"/>
              </w:rPr>
            </w:pPr>
          </w:p>
        </w:tc>
        <w:tc>
          <w:tcPr>
            <w:tcW w:w="1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93.9 %</w:t>
            </w:r>
          </w:p>
        </w:tc>
        <w:tc>
          <w:tcPr>
            <w:tcW w:w="0" w:type="dxa"/>
            <w:vAlign w:val="bottom"/>
          </w:tcPr>
          <w:p>
            <w:pPr>
              <w:spacing w:after="0"/>
              <w:rPr>
                <w:sz w:val="1"/>
                <w:szCs w:val="1"/>
                <w:color w:val="auto"/>
              </w:rPr>
            </w:pPr>
          </w:p>
        </w:tc>
      </w:tr>
      <w:tr>
        <w:trPr>
          <w:trHeight w:val="216"/>
        </w:trPr>
        <w:tc>
          <w:tcPr>
            <w:tcW w:w="2060" w:type="dxa"/>
            <w:vAlign w:val="bottom"/>
          </w:tcPr>
          <w:p>
            <w:pPr>
              <w:jc w:val="center"/>
              <w:ind w:right="854"/>
              <w:spacing w:after="0" w:line="216" w:lineRule="exact"/>
              <w:rPr>
                <w:sz w:val="20"/>
                <w:szCs w:val="20"/>
                <w:color w:val="auto"/>
              </w:rPr>
            </w:pPr>
            <w:r>
              <w:rPr>
                <w:rFonts w:ascii="Times New Roman" w:cs="Times New Roman" w:eastAsia="Times New Roman" w:hAnsi="Times New Roman"/>
                <w:sz w:val="25"/>
                <w:szCs w:val="25"/>
                <w:color w:val="auto"/>
                <w:vertAlign w:val="subscript"/>
              </w:rPr>
              <w:t>4</w:t>
            </w:r>
            <w:r>
              <w:rPr>
                <w:rFonts w:ascii="Times New Roman" w:cs="Times New Roman" w:eastAsia="Times New Roman" w:hAnsi="Times New Roman"/>
                <w:sz w:val="9"/>
                <w:szCs w:val="9"/>
                <w:color w:val="auto"/>
              </w:rPr>
              <w:t>(2)</w:t>
            </w:r>
          </w:p>
        </w:tc>
        <w:tc>
          <w:tcPr>
            <w:tcW w:w="1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181,826</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5,132</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186,958</w:t>
            </w:r>
          </w:p>
        </w:tc>
        <w:tc>
          <w:tcPr>
            <w:tcW w:w="10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6.1 %</w:t>
            </w:r>
          </w:p>
        </w:tc>
        <w:tc>
          <w:tcPr>
            <w:tcW w:w="0" w:type="dxa"/>
            <w:vAlign w:val="bottom"/>
          </w:tcPr>
          <w:p>
            <w:pPr>
              <w:spacing w:after="0"/>
              <w:rPr>
                <w:sz w:val="1"/>
                <w:szCs w:val="1"/>
                <w:color w:val="auto"/>
              </w:rPr>
            </w:pPr>
          </w:p>
        </w:tc>
      </w:tr>
      <w:tr>
        <w:trPr>
          <w:trHeight w:val="235"/>
        </w:trPr>
        <w:tc>
          <w:tcPr>
            <w:tcW w:w="206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111</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CCEEFF"/>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3,047,731</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15,105</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19,488</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320" w:type="dxa"/>
            <w:vAlign w:val="bottom"/>
            <w:tcBorders>
              <w:top w:val="single" w:sz="8" w:color="auto"/>
              <w:bottom w:val="single" w:sz="8" w:color="CCEEFF"/>
            </w:tcBorders>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3,082,324</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6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100.0 %</w:t>
            </w:r>
          </w:p>
        </w:tc>
        <w:tc>
          <w:tcPr>
            <w:tcW w:w="0" w:type="dxa"/>
            <w:vAlign w:val="bottom"/>
          </w:tcPr>
          <w:p>
            <w:pPr>
              <w:spacing w:after="0"/>
              <w:rPr>
                <w:sz w:val="1"/>
                <w:szCs w:val="1"/>
                <w:color w:val="auto"/>
              </w:rPr>
            </w:pPr>
          </w:p>
        </w:tc>
      </w:tr>
      <w:tr>
        <w:trPr>
          <w:trHeight w:val="20"/>
        </w:trPr>
        <w:tc>
          <w:tcPr>
            <w:tcW w:w="20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9"/>
        </w:trPr>
        <w:tc>
          <w:tcPr>
            <w:tcW w:w="20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3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3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2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96"/>
        </w:trPr>
        <w:tc>
          <w:tcPr>
            <w:tcW w:w="21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Weighted average risk ranking</w:t>
            </w:r>
          </w:p>
        </w:tc>
        <w:tc>
          <w:tcPr>
            <w:tcW w:w="11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12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13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13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spacing w:after="0"/>
              <w:rPr>
                <w:sz w:val="17"/>
                <w:szCs w:val="17"/>
                <w:color w:val="auto"/>
              </w:rPr>
            </w:pPr>
          </w:p>
        </w:tc>
        <w:tc>
          <w:tcPr>
            <w:tcW w:w="10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640" w:type="dxa"/>
            <w:vAlign w:val="bottom"/>
            <w:tcBorders>
              <w:bottom w:val="single" w:sz="8" w:color="CCEEFF"/>
            </w:tcBorders>
            <w:shd w:val="clear" w:color="auto" w:fill="CCEEFF"/>
          </w:tcPr>
          <w:p>
            <w:pPr>
              <w:jc w:val="right"/>
              <w:ind w:right="508"/>
              <w:spacing w:after="0"/>
              <w:rPr>
                <w:sz w:val="20"/>
                <w:szCs w:val="20"/>
                <w:color w:val="auto"/>
              </w:rPr>
            </w:pPr>
            <w:r>
              <w:rPr>
                <w:rFonts w:ascii="Times New Roman" w:cs="Times New Roman" w:eastAsia="Times New Roman" w:hAnsi="Times New Roman"/>
                <w:sz w:val="14"/>
                <w:szCs w:val="14"/>
                <w:color w:val="auto"/>
              </w:rPr>
              <w:t>3.1</w:t>
            </w:r>
          </w:p>
        </w:tc>
        <w:tc>
          <w:tcPr>
            <w:tcW w:w="0" w:type="dxa"/>
            <w:vAlign w:val="bottom"/>
          </w:tcPr>
          <w:p>
            <w:pPr>
              <w:spacing w:after="0"/>
              <w:rPr>
                <w:sz w:val="1"/>
                <w:szCs w:val="1"/>
                <w:color w:val="auto"/>
              </w:rPr>
            </w:pPr>
          </w:p>
        </w:tc>
      </w:tr>
      <w:tr>
        <w:trPr>
          <w:trHeight w:val="260"/>
        </w:trPr>
        <w:tc>
          <w:tcPr>
            <w:tcW w:w="3280" w:type="dxa"/>
            <w:vAlign w:val="bottom"/>
            <w:gridSpan w:val="3"/>
          </w:tcPr>
          <w:p>
            <w:pPr>
              <w:jc w:val="right"/>
              <w:ind w:right="248"/>
              <w:spacing w:after="0"/>
              <w:rPr>
                <w:sz w:val="20"/>
                <w:szCs w:val="20"/>
                <w:color w:val="auto"/>
              </w:rPr>
            </w:pPr>
            <w:r>
              <w:rPr>
                <w:rFonts w:ascii="Times New Roman" w:cs="Times New Roman" w:eastAsia="Times New Roman" w:hAnsi="Times New Roman"/>
                <w:sz w:val="14"/>
                <w:szCs w:val="14"/>
                <w:color w:val="auto"/>
              </w:rPr>
              <w:t>_________________________________________</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40" w:type="dxa"/>
            <w:vAlign w:val="bottom"/>
          </w:tcPr>
          <w:p>
            <w:pPr>
              <w:spacing w:after="0"/>
              <w:rPr>
                <w:sz w:val="22"/>
                <w:szCs w:val="22"/>
                <w:color w:val="auto"/>
              </w:rPr>
            </w:pPr>
          </w:p>
        </w:tc>
        <w:tc>
          <w:tcPr>
            <w:tcW w:w="0" w:type="dxa"/>
            <w:vAlign w:val="bottom"/>
          </w:tcPr>
          <w:p>
            <w:pPr>
              <w:spacing w:after="0"/>
              <w:rPr>
                <w:sz w:val="1"/>
                <w:szCs w:val="1"/>
                <w:color w:val="auto"/>
              </w:rPr>
            </w:pPr>
          </w:p>
        </w:tc>
      </w:tr>
    </w:tbl>
    <w:p>
      <w:pPr>
        <w:ind w:left="320" w:hanging="312"/>
        <w:spacing w:after="0"/>
        <w:tabs>
          <w:tab w:leader="none" w:pos="320"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Carrying value at our share represents the proportionate carrying value based on ownership by asset as of September 30, 2026.</w:t>
      </w:r>
    </w:p>
    <w:p>
      <w:pPr>
        <w:spacing w:after="0" w:line="14" w:lineRule="exact"/>
        <w:rPr>
          <w:rFonts w:ascii="Times New Roman" w:cs="Times New Roman" w:eastAsia="Times New Roman" w:hAnsi="Times New Roman"/>
          <w:sz w:val="14"/>
          <w:szCs w:val="14"/>
          <w:color w:val="auto"/>
        </w:rPr>
      </w:pPr>
    </w:p>
    <w:p>
      <w:pPr>
        <w:ind w:left="320" w:hanging="312"/>
        <w:spacing w:after="0"/>
        <w:tabs>
          <w:tab w:leader="none" w:pos="320"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Count includes three preferred equity investments where we are also the senior lender.</w:t>
      </w: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1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980" w:type="dxa"/>
            <w:vAlign w:val="bottom"/>
            <w:gridSpan w:val="5"/>
          </w:tcPr>
          <w:p>
            <w:pPr>
              <w:ind w:left="280"/>
              <w:spacing w:after="0"/>
              <w:rPr>
                <w:sz w:val="20"/>
                <w:szCs w:val="20"/>
                <w:color w:val="auto"/>
              </w:rPr>
            </w:pPr>
            <w:r>
              <w:rPr>
                <w:rFonts w:ascii="Times New Roman" w:cs="Times New Roman" w:eastAsia="Times New Roman" w:hAnsi="Times New Roman"/>
                <w:sz w:val="14"/>
                <w:szCs w:val="14"/>
                <w:b w:val="1"/>
                <w:bCs w:val="1"/>
                <w:color w:val="auto"/>
              </w:rPr>
              <w:t>Carrying value (at BRSP share)</w:t>
            </w:r>
            <w:r>
              <w:rPr>
                <w:rFonts w:ascii="Times New Roman" w:cs="Times New Roman" w:eastAsia="Times New Roman" w:hAnsi="Times New Roman"/>
                <w:sz w:val="9"/>
                <w:szCs w:val="9"/>
                <w:b w:val="1"/>
                <w:bCs w:val="1"/>
                <w:color w:val="auto"/>
              </w:rPr>
              <w:t>(1)</w:t>
            </w:r>
          </w:p>
        </w:tc>
        <w:tc>
          <w:tcPr>
            <w:tcW w:w="3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18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Collateral property type</w:t>
            </w:r>
          </w:p>
        </w:tc>
        <w:tc>
          <w:tcPr>
            <w:tcW w:w="122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gridSpan w:val="2"/>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20" w:type="dxa"/>
            <w:vAlign w:val="bottom"/>
            <w:vMerge w:val="restart"/>
          </w:tcPr>
          <w:p>
            <w:pPr>
              <w:jc w:val="right"/>
              <w:ind w:right="408"/>
              <w:spacing w:after="0"/>
              <w:rPr>
                <w:sz w:val="20"/>
                <w:szCs w:val="20"/>
                <w:color w:val="auto"/>
              </w:rPr>
            </w:pPr>
            <w:r>
              <w:rPr>
                <w:rFonts w:ascii="Times New Roman" w:cs="Times New Roman" w:eastAsia="Times New Roman" w:hAnsi="Times New Roman"/>
                <w:sz w:val="14"/>
                <w:szCs w:val="14"/>
                <w:b w:val="1"/>
                <w:bCs w:val="1"/>
                <w:color w:val="auto"/>
              </w:rPr>
              <w:t>% of Total</w:t>
            </w:r>
          </w:p>
        </w:tc>
        <w:tc>
          <w:tcPr>
            <w:tcW w:w="0" w:type="dxa"/>
            <w:vAlign w:val="bottom"/>
          </w:tcPr>
          <w:p>
            <w:pPr>
              <w:spacing w:after="0"/>
              <w:rPr>
                <w:sz w:val="1"/>
                <w:szCs w:val="1"/>
                <w:color w:val="auto"/>
              </w:rPr>
            </w:pPr>
          </w:p>
        </w:tc>
      </w:tr>
      <w:tr>
        <w:trPr>
          <w:trHeight w:val="186"/>
        </w:trPr>
        <w:tc>
          <w:tcPr>
            <w:tcW w:w="2180" w:type="dxa"/>
            <w:vAlign w:val="bottom"/>
            <w:vMerge w:val="continue"/>
          </w:tcPr>
          <w:p>
            <w:pPr>
              <w:spacing w:after="0"/>
              <w:rPr>
                <w:sz w:val="16"/>
                <w:szCs w:val="16"/>
                <w:color w:val="auto"/>
              </w:rPr>
            </w:pPr>
          </w:p>
        </w:tc>
        <w:tc>
          <w:tcPr>
            <w:tcW w:w="1220" w:type="dxa"/>
            <w:vAlign w:val="bottom"/>
            <w:gridSpan w:val="2"/>
          </w:tcPr>
          <w:p>
            <w:pPr>
              <w:ind w:left="380"/>
              <w:spacing w:after="0"/>
              <w:rPr>
                <w:sz w:val="20"/>
                <w:szCs w:val="20"/>
                <w:color w:val="auto"/>
              </w:rPr>
            </w:pPr>
            <w:r>
              <w:rPr>
                <w:rFonts w:ascii="Times New Roman" w:cs="Times New Roman" w:eastAsia="Times New Roman" w:hAnsi="Times New Roman"/>
                <w:sz w:val="14"/>
                <w:szCs w:val="14"/>
                <w:b w:val="1"/>
                <w:bCs w:val="1"/>
                <w:color w:val="auto"/>
              </w:rPr>
              <w:t>Count</w:t>
            </w:r>
          </w:p>
        </w:tc>
        <w:tc>
          <w:tcPr>
            <w:tcW w:w="240" w:type="dxa"/>
            <w:vAlign w:val="bottom"/>
          </w:tcPr>
          <w:p>
            <w:pPr>
              <w:spacing w:after="0"/>
              <w:rPr>
                <w:sz w:val="16"/>
                <w:szCs w:val="16"/>
                <w:color w:val="auto"/>
              </w:rPr>
            </w:pPr>
          </w:p>
        </w:tc>
        <w:tc>
          <w:tcPr>
            <w:tcW w:w="134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Senior loans</w:t>
            </w:r>
          </w:p>
        </w:tc>
        <w:tc>
          <w:tcPr>
            <w:tcW w:w="180" w:type="dxa"/>
            <w:vAlign w:val="bottom"/>
          </w:tcPr>
          <w:p>
            <w:pPr>
              <w:spacing w:after="0"/>
              <w:rPr>
                <w:sz w:val="16"/>
                <w:szCs w:val="16"/>
                <w:color w:val="auto"/>
              </w:rPr>
            </w:pPr>
          </w:p>
        </w:tc>
        <w:tc>
          <w:tcPr>
            <w:tcW w:w="140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Mezzanine loans</w:t>
            </w:r>
          </w:p>
        </w:tc>
        <w:tc>
          <w:tcPr>
            <w:tcW w:w="180" w:type="dxa"/>
            <w:vAlign w:val="bottom"/>
          </w:tcPr>
          <w:p>
            <w:pPr>
              <w:spacing w:after="0"/>
              <w:rPr>
                <w:sz w:val="16"/>
                <w:szCs w:val="16"/>
                <w:color w:val="auto"/>
              </w:rPr>
            </w:pPr>
          </w:p>
        </w:tc>
        <w:tc>
          <w:tcPr>
            <w:tcW w:w="140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Preferred equity</w:t>
            </w:r>
          </w:p>
        </w:tc>
        <w:tc>
          <w:tcPr>
            <w:tcW w:w="320" w:type="dxa"/>
            <w:vAlign w:val="bottom"/>
          </w:tcPr>
          <w:p>
            <w:pPr>
              <w:spacing w:after="0"/>
              <w:rPr>
                <w:sz w:val="16"/>
                <w:szCs w:val="16"/>
                <w:color w:val="auto"/>
              </w:rPr>
            </w:pPr>
          </w:p>
        </w:tc>
        <w:tc>
          <w:tcPr>
            <w:tcW w:w="1160" w:type="dxa"/>
            <w:vAlign w:val="bottom"/>
            <w:gridSpan w:val="2"/>
          </w:tcPr>
          <w:p>
            <w:pPr>
              <w:ind w:left="2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6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18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Multifamily</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84</w:t>
            </w:r>
          </w:p>
        </w:tc>
        <w:tc>
          <w:tcPr>
            <w:tcW w:w="8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2,203,063</w:t>
            </w:r>
          </w:p>
        </w:tc>
        <w:tc>
          <w:tcPr>
            <w:tcW w:w="8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4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15,924</w:t>
            </w:r>
          </w:p>
        </w:tc>
        <w:tc>
          <w:tcPr>
            <w:tcW w:w="8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CCEEFF"/>
            </w:tcBorders>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2,218,987</w:t>
            </w:r>
          </w:p>
        </w:tc>
        <w:tc>
          <w:tcPr>
            <w:tcW w:w="100" w:type="dxa"/>
            <w:vAlign w:val="bottom"/>
            <w:tcBorders>
              <w:bottom w:val="single" w:sz="8" w:color="CCEEFF"/>
            </w:tcBorders>
            <w:shd w:val="clear" w:color="auto" w:fill="CCEEFF"/>
          </w:tcPr>
          <w:p>
            <w:pPr>
              <w:spacing w:after="0"/>
              <w:rPr>
                <w:sz w:val="16"/>
                <w:szCs w:val="16"/>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71.9 %</w:t>
            </w:r>
          </w:p>
        </w:tc>
        <w:tc>
          <w:tcPr>
            <w:tcW w:w="0" w:type="dxa"/>
            <w:vAlign w:val="bottom"/>
          </w:tcPr>
          <w:p>
            <w:pPr>
              <w:spacing w:after="0"/>
              <w:rPr>
                <w:sz w:val="1"/>
                <w:szCs w:val="1"/>
                <w:color w:val="auto"/>
              </w:rPr>
            </w:pPr>
          </w:p>
        </w:tc>
      </w:tr>
      <w:tr>
        <w:trPr>
          <w:trHeight w:val="193"/>
        </w:trPr>
        <w:tc>
          <w:tcPr>
            <w:tcW w:w="21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Office</w:t>
            </w: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553,229</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15,105</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3,564</w:t>
            </w: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571,898</w:t>
            </w:r>
          </w:p>
        </w:tc>
        <w:tc>
          <w:tcPr>
            <w:tcW w:w="100" w:type="dxa"/>
            <w:vAlign w:val="bottom"/>
          </w:tcPr>
          <w:p>
            <w:pPr>
              <w:spacing w:after="0"/>
              <w:rPr>
                <w:sz w:val="16"/>
                <w:szCs w:val="16"/>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18.6 %</w:t>
            </w:r>
          </w:p>
        </w:tc>
        <w:tc>
          <w:tcPr>
            <w:tcW w:w="0" w:type="dxa"/>
            <w:vAlign w:val="bottom"/>
          </w:tcPr>
          <w:p>
            <w:pPr>
              <w:spacing w:after="0"/>
              <w:rPr>
                <w:sz w:val="1"/>
                <w:szCs w:val="1"/>
                <w:color w:val="auto"/>
              </w:rPr>
            </w:pPr>
          </w:p>
        </w:tc>
      </w:tr>
      <w:tr>
        <w:trPr>
          <w:trHeight w:val="23"/>
        </w:trPr>
        <w:tc>
          <w:tcPr>
            <w:tcW w:w="2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2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(Mixed-use)</w:t>
            </w:r>
            <w:r>
              <w:rPr>
                <w:rFonts w:ascii="Times New Roman" w:cs="Times New Roman" w:eastAsia="Times New Roman" w:hAnsi="Times New Roman"/>
                <w:sz w:val="9"/>
                <w:szCs w:val="9"/>
                <w:color w:val="auto"/>
              </w:rPr>
              <w:t>(2)</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8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184,357</w:t>
            </w:r>
          </w:p>
        </w:tc>
        <w:tc>
          <w:tcPr>
            <w:tcW w:w="8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14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bottom w:val="single" w:sz="8" w:color="CCEEFF"/>
            </w:tcBorders>
            <w:shd w:val="clear" w:color="auto" w:fill="CCEEFF"/>
          </w:tcPr>
          <w:p>
            <w:pPr>
              <w:spacing w:after="0"/>
              <w:rPr>
                <w:sz w:val="17"/>
                <w:szCs w:val="17"/>
                <w:color w:val="auto"/>
              </w:rPr>
            </w:pPr>
          </w:p>
        </w:tc>
        <w:tc>
          <w:tcPr>
            <w:tcW w:w="14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Borders>
              <w:bottom w:val="single" w:sz="8" w:color="CCEEFF"/>
            </w:tcBorders>
            <w:shd w:val="clear" w:color="auto" w:fill="CCEEFF"/>
          </w:tcPr>
          <w:p>
            <w:pPr>
              <w:spacing w:after="0"/>
              <w:rPr>
                <w:sz w:val="17"/>
                <w:szCs w:val="17"/>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184,357</w:t>
            </w:r>
          </w:p>
        </w:tc>
        <w:tc>
          <w:tcPr>
            <w:tcW w:w="100" w:type="dxa"/>
            <w:vAlign w:val="bottom"/>
            <w:tcBorders>
              <w:bottom w:val="single" w:sz="8" w:color="CCEEFF"/>
            </w:tcBorders>
            <w:shd w:val="clear" w:color="auto" w:fill="CCEEFF"/>
          </w:tcPr>
          <w:p>
            <w:pPr>
              <w:spacing w:after="0"/>
              <w:rPr>
                <w:sz w:val="17"/>
                <w:szCs w:val="17"/>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6.0 %</w:t>
            </w:r>
          </w:p>
        </w:tc>
        <w:tc>
          <w:tcPr>
            <w:tcW w:w="0" w:type="dxa"/>
            <w:vAlign w:val="bottom"/>
          </w:tcPr>
          <w:p>
            <w:pPr>
              <w:spacing w:after="0"/>
              <w:rPr>
                <w:sz w:val="1"/>
                <w:szCs w:val="1"/>
                <w:color w:val="auto"/>
              </w:rPr>
            </w:pPr>
          </w:p>
        </w:tc>
      </w:tr>
      <w:tr>
        <w:trPr>
          <w:trHeight w:val="193"/>
        </w:trPr>
        <w:tc>
          <w:tcPr>
            <w:tcW w:w="21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Industrial</w:t>
            </w: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82,591</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14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82,591</w:t>
            </w:r>
          </w:p>
        </w:tc>
        <w:tc>
          <w:tcPr>
            <w:tcW w:w="100" w:type="dxa"/>
            <w:vAlign w:val="bottom"/>
          </w:tcPr>
          <w:p>
            <w:pPr>
              <w:spacing w:after="0"/>
              <w:rPr>
                <w:sz w:val="16"/>
                <w:szCs w:val="16"/>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2.7 %</w:t>
            </w:r>
          </w:p>
        </w:tc>
        <w:tc>
          <w:tcPr>
            <w:tcW w:w="0" w:type="dxa"/>
            <w:vAlign w:val="bottom"/>
          </w:tcPr>
          <w:p>
            <w:pPr>
              <w:spacing w:after="0"/>
              <w:rPr>
                <w:sz w:val="1"/>
                <w:szCs w:val="1"/>
                <w:color w:val="auto"/>
              </w:rPr>
            </w:pPr>
          </w:p>
        </w:tc>
      </w:tr>
      <w:tr>
        <w:trPr>
          <w:trHeight w:val="23"/>
        </w:trPr>
        <w:tc>
          <w:tcPr>
            <w:tcW w:w="2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Hotel</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24,491</w:t>
            </w:r>
          </w:p>
        </w:tc>
        <w:tc>
          <w:tcPr>
            <w:tcW w:w="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4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bottom w:val="single" w:sz="8" w:color="CCEEFF"/>
            </w:tcBorders>
            <w:shd w:val="clear" w:color="auto" w:fill="CCEEFF"/>
          </w:tcPr>
          <w:p>
            <w:pPr>
              <w:spacing w:after="0"/>
              <w:rPr>
                <w:sz w:val="18"/>
                <w:szCs w:val="18"/>
                <w:color w:val="auto"/>
              </w:rPr>
            </w:pPr>
          </w:p>
        </w:tc>
        <w:tc>
          <w:tcPr>
            <w:tcW w:w="14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24,491</w:t>
            </w:r>
          </w:p>
        </w:tc>
        <w:tc>
          <w:tcPr>
            <w:tcW w:w="100" w:type="dxa"/>
            <w:vAlign w:val="bottom"/>
            <w:tcBorders>
              <w:bottom w:val="single" w:sz="8" w:color="CCEEFF"/>
            </w:tcBorders>
            <w:shd w:val="clear" w:color="auto" w:fill="CCEEFF"/>
          </w:tcPr>
          <w:p>
            <w:pPr>
              <w:spacing w:after="0"/>
              <w:rPr>
                <w:sz w:val="18"/>
                <w:szCs w:val="18"/>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0.8 %</w:t>
            </w:r>
          </w:p>
        </w:tc>
        <w:tc>
          <w:tcPr>
            <w:tcW w:w="0" w:type="dxa"/>
            <w:vAlign w:val="bottom"/>
          </w:tcPr>
          <w:p>
            <w:pPr>
              <w:spacing w:after="0"/>
              <w:rPr>
                <w:sz w:val="1"/>
                <w:szCs w:val="1"/>
                <w:color w:val="auto"/>
              </w:rPr>
            </w:pPr>
          </w:p>
        </w:tc>
      </w:tr>
      <w:tr>
        <w:trPr>
          <w:trHeight w:val="186"/>
        </w:trPr>
        <w:tc>
          <w:tcPr>
            <w:tcW w:w="21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111</w:t>
            </w:r>
          </w:p>
        </w:tc>
        <w:tc>
          <w:tcPr>
            <w:tcW w:w="80" w:type="dxa"/>
            <w:vAlign w:val="bottom"/>
          </w:tcPr>
          <w:p>
            <w:pPr>
              <w:spacing w:after="0"/>
              <w:rPr>
                <w:sz w:val="16"/>
                <w:szCs w:val="16"/>
                <w:color w:val="auto"/>
              </w:rPr>
            </w:pPr>
          </w:p>
        </w:tc>
        <w:tc>
          <w:tcPr>
            <w:tcW w:w="240" w:type="dxa"/>
            <w:vAlign w:val="bottom"/>
            <w:tcBorders>
              <w:top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3,047,731</w:t>
            </w:r>
          </w:p>
        </w:tc>
        <w:tc>
          <w:tcPr>
            <w:tcW w:w="80" w:type="dxa"/>
            <w:vAlign w:val="bottom"/>
          </w:tcPr>
          <w:p>
            <w:pPr>
              <w:spacing w:after="0"/>
              <w:rPr>
                <w:sz w:val="16"/>
                <w:szCs w:val="16"/>
                <w:color w:val="auto"/>
              </w:rPr>
            </w:pPr>
          </w:p>
        </w:tc>
        <w:tc>
          <w:tcPr>
            <w:tcW w:w="180" w:type="dxa"/>
            <w:vAlign w:val="bottom"/>
            <w:tcBorders>
              <w:top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3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15,105</w:t>
            </w:r>
          </w:p>
        </w:tc>
        <w:tc>
          <w:tcPr>
            <w:tcW w:w="80" w:type="dxa"/>
            <w:vAlign w:val="bottom"/>
          </w:tcPr>
          <w:p>
            <w:pPr>
              <w:spacing w:after="0"/>
              <w:rPr>
                <w:sz w:val="16"/>
                <w:szCs w:val="16"/>
                <w:color w:val="auto"/>
              </w:rPr>
            </w:pPr>
          </w:p>
        </w:tc>
        <w:tc>
          <w:tcPr>
            <w:tcW w:w="180" w:type="dxa"/>
            <w:vAlign w:val="bottom"/>
            <w:tcBorders>
              <w:top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3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19,488</w:t>
            </w:r>
          </w:p>
        </w:tc>
        <w:tc>
          <w:tcPr>
            <w:tcW w:w="80" w:type="dxa"/>
            <w:vAlign w:val="bottom"/>
          </w:tcPr>
          <w:p>
            <w:pPr>
              <w:spacing w:after="0"/>
              <w:rPr>
                <w:sz w:val="16"/>
                <w:szCs w:val="16"/>
                <w:color w:val="auto"/>
              </w:rPr>
            </w:pPr>
          </w:p>
        </w:tc>
        <w:tc>
          <w:tcPr>
            <w:tcW w:w="320" w:type="dxa"/>
            <w:vAlign w:val="bottom"/>
            <w:tcBorders>
              <w:top w:val="single" w:sz="8" w:color="auto"/>
            </w:tcBorders>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3,082,324</w:t>
            </w:r>
          </w:p>
        </w:tc>
        <w:tc>
          <w:tcPr>
            <w:tcW w:w="100" w:type="dxa"/>
            <w:vAlign w:val="bottom"/>
          </w:tcPr>
          <w:p>
            <w:pPr>
              <w:spacing w:after="0"/>
              <w:rPr>
                <w:sz w:val="16"/>
                <w:szCs w:val="16"/>
                <w:color w:val="auto"/>
              </w:rPr>
            </w:pPr>
          </w:p>
        </w:tc>
        <w:tc>
          <w:tcPr>
            <w:tcW w:w="1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100.0 %</w:t>
            </w:r>
          </w:p>
        </w:tc>
        <w:tc>
          <w:tcPr>
            <w:tcW w:w="0" w:type="dxa"/>
            <w:vAlign w:val="bottom"/>
          </w:tcPr>
          <w:p>
            <w:pPr>
              <w:spacing w:after="0"/>
              <w:rPr>
                <w:sz w:val="1"/>
                <w:szCs w:val="1"/>
                <w:color w:val="auto"/>
              </w:rPr>
            </w:pPr>
          </w:p>
        </w:tc>
      </w:tr>
      <w:tr>
        <w:trPr>
          <w:trHeight w:val="23"/>
        </w:trPr>
        <w:tc>
          <w:tcPr>
            <w:tcW w:w="2180" w:type="dxa"/>
            <w:vAlign w:val="bottom"/>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18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_________________________________________</w:t>
      </w:r>
    </w:p>
    <w:p>
      <w:pPr>
        <w:spacing w:after="0" w:line="27" w:lineRule="exact"/>
        <w:rPr>
          <w:sz w:val="20"/>
          <w:szCs w:val="20"/>
          <w:color w:val="auto"/>
        </w:rPr>
      </w:pPr>
    </w:p>
    <w:p>
      <w:pPr>
        <w:ind w:left="320" w:hanging="312"/>
        <w:spacing w:after="0"/>
        <w:tabs>
          <w:tab w:leader="none" w:pos="320"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Carrying value at our share represents the proportionate carrying value based on ownership by asset as of September 30, 2026.</w:t>
      </w:r>
    </w:p>
    <w:p>
      <w:pPr>
        <w:spacing w:after="0" w:line="14" w:lineRule="exact"/>
        <w:rPr>
          <w:rFonts w:ascii="Times New Roman" w:cs="Times New Roman" w:eastAsia="Times New Roman" w:hAnsi="Times New Roman"/>
          <w:sz w:val="14"/>
          <w:szCs w:val="14"/>
          <w:color w:val="auto"/>
        </w:rPr>
      </w:pPr>
    </w:p>
    <w:p>
      <w:pPr>
        <w:ind w:left="320" w:hanging="312"/>
        <w:spacing w:after="0"/>
        <w:tabs>
          <w:tab w:leader="none" w:pos="320"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Other includes commercial and residential development assets.</w:t>
      </w:r>
    </w:p>
    <w:p>
      <w:pPr>
        <w:spacing w:after="0" w:line="4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0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980" w:type="dxa"/>
            <w:vAlign w:val="bottom"/>
            <w:gridSpan w:val="5"/>
          </w:tcPr>
          <w:p>
            <w:pPr>
              <w:ind w:left="280"/>
              <w:spacing w:after="0"/>
              <w:rPr>
                <w:sz w:val="20"/>
                <w:szCs w:val="20"/>
                <w:color w:val="auto"/>
              </w:rPr>
            </w:pPr>
            <w:r>
              <w:rPr>
                <w:rFonts w:ascii="Times New Roman" w:cs="Times New Roman" w:eastAsia="Times New Roman" w:hAnsi="Times New Roman"/>
                <w:sz w:val="14"/>
                <w:szCs w:val="14"/>
                <w:b w:val="1"/>
                <w:bCs w:val="1"/>
                <w:color w:val="auto"/>
              </w:rPr>
              <w:t>Carrying value (at BRSP share)</w:t>
            </w:r>
            <w:r>
              <w:rPr>
                <w:rFonts w:ascii="Times New Roman" w:cs="Times New Roman" w:eastAsia="Times New Roman" w:hAnsi="Times New Roman"/>
                <w:sz w:val="9"/>
                <w:szCs w:val="9"/>
                <w:b w:val="1"/>
                <w:bCs w:val="1"/>
                <w:color w:val="auto"/>
              </w:rPr>
              <w:t>(1)</w:t>
            </w:r>
          </w:p>
        </w:tc>
        <w:tc>
          <w:tcPr>
            <w:tcW w:w="3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1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Region</w:t>
            </w:r>
          </w:p>
        </w:tc>
        <w:tc>
          <w:tcPr>
            <w:tcW w:w="124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gridSpan w:val="2"/>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20" w:type="dxa"/>
            <w:vAlign w:val="bottom"/>
            <w:vMerge w:val="restart"/>
          </w:tcPr>
          <w:p>
            <w:pPr>
              <w:jc w:val="right"/>
              <w:ind w:right="408"/>
              <w:spacing w:after="0"/>
              <w:rPr>
                <w:sz w:val="20"/>
                <w:szCs w:val="20"/>
                <w:color w:val="auto"/>
              </w:rPr>
            </w:pPr>
            <w:r>
              <w:rPr>
                <w:rFonts w:ascii="Times New Roman" w:cs="Times New Roman" w:eastAsia="Times New Roman" w:hAnsi="Times New Roman"/>
                <w:sz w:val="14"/>
                <w:szCs w:val="14"/>
                <w:b w:val="1"/>
                <w:bCs w:val="1"/>
                <w:color w:val="auto"/>
              </w:rPr>
              <w:t>% of Total</w:t>
            </w:r>
          </w:p>
        </w:tc>
        <w:tc>
          <w:tcPr>
            <w:tcW w:w="0" w:type="dxa"/>
            <w:vAlign w:val="bottom"/>
          </w:tcPr>
          <w:p>
            <w:pPr>
              <w:spacing w:after="0"/>
              <w:rPr>
                <w:sz w:val="1"/>
                <w:szCs w:val="1"/>
                <w:color w:val="auto"/>
              </w:rPr>
            </w:pPr>
          </w:p>
        </w:tc>
      </w:tr>
      <w:tr>
        <w:trPr>
          <w:trHeight w:val="186"/>
        </w:trPr>
        <w:tc>
          <w:tcPr>
            <w:tcW w:w="2160" w:type="dxa"/>
            <w:vAlign w:val="bottom"/>
            <w:gridSpan w:val="2"/>
            <w:vMerge w:val="continue"/>
          </w:tcPr>
          <w:p>
            <w:pPr>
              <w:spacing w:after="0"/>
              <w:rPr>
                <w:sz w:val="16"/>
                <w:szCs w:val="16"/>
                <w:color w:val="auto"/>
              </w:rPr>
            </w:pPr>
          </w:p>
        </w:tc>
        <w:tc>
          <w:tcPr>
            <w:tcW w:w="1240" w:type="dxa"/>
            <w:vAlign w:val="bottom"/>
            <w:gridSpan w:val="2"/>
          </w:tcPr>
          <w:p>
            <w:pPr>
              <w:ind w:left="380"/>
              <w:spacing w:after="0"/>
              <w:rPr>
                <w:sz w:val="20"/>
                <w:szCs w:val="20"/>
                <w:color w:val="auto"/>
              </w:rPr>
            </w:pPr>
            <w:r>
              <w:rPr>
                <w:rFonts w:ascii="Times New Roman" w:cs="Times New Roman" w:eastAsia="Times New Roman" w:hAnsi="Times New Roman"/>
                <w:sz w:val="14"/>
                <w:szCs w:val="14"/>
                <w:b w:val="1"/>
                <w:bCs w:val="1"/>
                <w:color w:val="auto"/>
              </w:rPr>
              <w:t>Count</w:t>
            </w:r>
          </w:p>
        </w:tc>
        <w:tc>
          <w:tcPr>
            <w:tcW w:w="240" w:type="dxa"/>
            <w:vAlign w:val="bottom"/>
          </w:tcPr>
          <w:p>
            <w:pPr>
              <w:spacing w:after="0"/>
              <w:rPr>
                <w:sz w:val="16"/>
                <w:szCs w:val="16"/>
                <w:color w:val="auto"/>
              </w:rPr>
            </w:pPr>
          </w:p>
        </w:tc>
        <w:tc>
          <w:tcPr>
            <w:tcW w:w="134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Senior loans</w:t>
            </w:r>
          </w:p>
        </w:tc>
        <w:tc>
          <w:tcPr>
            <w:tcW w:w="180" w:type="dxa"/>
            <w:vAlign w:val="bottom"/>
          </w:tcPr>
          <w:p>
            <w:pPr>
              <w:spacing w:after="0"/>
              <w:rPr>
                <w:sz w:val="16"/>
                <w:szCs w:val="16"/>
                <w:color w:val="auto"/>
              </w:rPr>
            </w:pPr>
          </w:p>
        </w:tc>
        <w:tc>
          <w:tcPr>
            <w:tcW w:w="140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Mezzanine loans</w:t>
            </w:r>
          </w:p>
        </w:tc>
        <w:tc>
          <w:tcPr>
            <w:tcW w:w="180" w:type="dxa"/>
            <w:vAlign w:val="bottom"/>
          </w:tcPr>
          <w:p>
            <w:pPr>
              <w:spacing w:after="0"/>
              <w:rPr>
                <w:sz w:val="16"/>
                <w:szCs w:val="16"/>
                <w:color w:val="auto"/>
              </w:rPr>
            </w:pPr>
          </w:p>
        </w:tc>
        <w:tc>
          <w:tcPr>
            <w:tcW w:w="140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Preferred equity</w:t>
            </w:r>
          </w:p>
        </w:tc>
        <w:tc>
          <w:tcPr>
            <w:tcW w:w="320" w:type="dxa"/>
            <w:vAlign w:val="bottom"/>
          </w:tcPr>
          <w:p>
            <w:pPr>
              <w:spacing w:after="0"/>
              <w:rPr>
                <w:sz w:val="16"/>
                <w:szCs w:val="16"/>
                <w:color w:val="auto"/>
              </w:rPr>
            </w:pPr>
          </w:p>
        </w:tc>
        <w:tc>
          <w:tcPr>
            <w:tcW w:w="1160" w:type="dxa"/>
            <w:vAlign w:val="bottom"/>
            <w:gridSpan w:val="2"/>
          </w:tcPr>
          <w:p>
            <w:pPr>
              <w:ind w:left="2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6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0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9"/>
        </w:trPr>
        <w:tc>
          <w:tcPr>
            <w:tcW w:w="21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US West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w:t>
            </w:r>
          </w:p>
        </w:tc>
        <w:tc>
          <w:tcPr>
            <w:tcW w:w="8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1,230,306</w:t>
            </w:r>
          </w:p>
        </w:tc>
        <w:tc>
          <w:tcPr>
            <w:tcW w:w="8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4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1,758</w:t>
            </w:r>
          </w:p>
        </w:tc>
        <w:tc>
          <w:tcPr>
            <w:tcW w:w="8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CCEEFF"/>
            </w:tcBorders>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1,232,064</w:t>
            </w:r>
          </w:p>
        </w:tc>
        <w:tc>
          <w:tcPr>
            <w:tcW w:w="100" w:type="dxa"/>
            <w:vAlign w:val="bottom"/>
            <w:tcBorders>
              <w:bottom w:val="single" w:sz="8" w:color="CCEEFF"/>
            </w:tcBorders>
            <w:shd w:val="clear" w:color="auto" w:fill="CCEEFF"/>
          </w:tcPr>
          <w:p>
            <w:pPr>
              <w:spacing w:after="0"/>
              <w:rPr>
                <w:sz w:val="16"/>
                <w:szCs w:val="16"/>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39.9 %</w:t>
            </w:r>
          </w:p>
        </w:tc>
        <w:tc>
          <w:tcPr>
            <w:tcW w:w="0" w:type="dxa"/>
            <w:vAlign w:val="bottom"/>
          </w:tcPr>
          <w:p>
            <w:pPr>
              <w:spacing w:after="0"/>
              <w:rPr>
                <w:sz w:val="1"/>
                <w:szCs w:val="1"/>
                <w:color w:val="auto"/>
              </w:rPr>
            </w:pPr>
          </w:p>
        </w:tc>
      </w:tr>
      <w:tr>
        <w:trPr>
          <w:trHeight w:val="193"/>
        </w:trPr>
        <w:tc>
          <w:tcPr>
            <w:tcW w:w="21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US Southwest</w:t>
            </w: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1,060,415</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17,730</w:t>
            </w: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1,078,145</w:t>
            </w:r>
          </w:p>
        </w:tc>
        <w:tc>
          <w:tcPr>
            <w:tcW w:w="100" w:type="dxa"/>
            <w:vAlign w:val="bottom"/>
          </w:tcPr>
          <w:p>
            <w:pPr>
              <w:spacing w:after="0"/>
              <w:rPr>
                <w:sz w:val="16"/>
                <w:szCs w:val="16"/>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35.0 %</w:t>
            </w:r>
          </w:p>
        </w:tc>
        <w:tc>
          <w:tcPr>
            <w:tcW w:w="0" w:type="dxa"/>
            <w:vAlign w:val="bottom"/>
          </w:tcPr>
          <w:p>
            <w:pPr>
              <w:spacing w:after="0"/>
              <w:rPr>
                <w:sz w:val="1"/>
                <w:szCs w:val="1"/>
                <w:color w:val="auto"/>
              </w:rPr>
            </w:pPr>
          </w:p>
        </w:tc>
      </w:tr>
      <w:tr>
        <w:trPr>
          <w:trHeight w:val="23"/>
        </w:trPr>
        <w:tc>
          <w:tcPr>
            <w:tcW w:w="2080" w:type="dxa"/>
            <w:vAlign w:val="bottom"/>
          </w:tcPr>
          <w:p>
            <w:pPr>
              <w:spacing w:after="0"/>
              <w:rPr>
                <w:sz w:val="2"/>
                <w:szCs w:val="2"/>
                <w:color w:val="auto"/>
              </w:rPr>
            </w:pPr>
          </w:p>
        </w:tc>
        <w:tc>
          <w:tcPr>
            <w:tcW w:w="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21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US Northeast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8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299,094</w:t>
            </w:r>
          </w:p>
        </w:tc>
        <w:tc>
          <w:tcPr>
            <w:tcW w:w="8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15,105</w:t>
            </w:r>
          </w:p>
        </w:tc>
        <w:tc>
          <w:tcPr>
            <w:tcW w:w="8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14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Borders>
              <w:bottom w:val="single" w:sz="8" w:color="CCEEFF"/>
            </w:tcBorders>
            <w:shd w:val="clear" w:color="auto" w:fill="CCEEFF"/>
          </w:tcPr>
          <w:p>
            <w:pPr>
              <w:spacing w:after="0"/>
              <w:rPr>
                <w:sz w:val="17"/>
                <w:szCs w:val="17"/>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314,199</w:t>
            </w:r>
          </w:p>
        </w:tc>
        <w:tc>
          <w:tcPr>
            <w:tcW w:w="100" w:type="dxa"/>
            <w:vAlign w:val="bottom"/>
            <w:tcBorders>
              <w:bottom w:val="single" w:sz="8" w:color="CCEEFF"/>
            </w:tcBorders>
            <w:shd w:val="clear" w:color="auto" w:fill="CCEEFF"/>
          </w:tcPr>
          <w:p>
            <w:pPr>
              <w:spacing w:after="0"/>
              <w:rPr>
                <w:sz w:val="17"/>
                <w:szCs w:val="17"/>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10.2 %</w:t>
            </w:r>
          </w:p>
        </w:tc>
        <w:tc>
          <w:tcPr>
            <w:tcW w:w="0" w:type="dxa"/>
            <w:vAlign w:val="bottom"/>
          </w:tcPr>
          <w:p>
            <w:pPr>
              <w:spacing w:after="0"/>
              <w:rPr>
                <w:sz w:val="1"/>
                <w:szCs w:val="1"/>
                <w:color w:val="auto"/>
              </w:rPr>
            </w:pPr>
          </w:p>
        </w:tc>
      </w:tr>
      <w:tr>
        <w:trPr>
          <w:trHeight w:val="193"/>
        </w:trPr>
        <w:tc>
          <w:tcPr>
            <w:tcW w:w="21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US Southeast</w:t>
            </w: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325,844</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14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325,844</w:t>
            </w:r>
          </w:p>
        </w:tc>
        <w:tc>
          <w:tcPr>
            <w:tcW w:w="100" w:type="dxa"/>
            <w:vAlign w:val="bottom"/>
          </w:tcPr>
          <w:p>
            <w:pPr>
              <w:spacing w:after="0"/>
              <w:rPr>
                <w:sz w:val="16"/>
                <w:szCs w:val="16"/>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10.6 %</w:t>
            </w:r>
          </w:p>
        </w:tc>
        <w:tc>
          <w:tcPr>
            <w:tcW w:w="0" w:type="dxa"/>
            <w:vAlign w:val="bottom"/>
          </w:tcPr>
          <w:p>
            <w:pPr>
              <w:spacing w:after="0"/>
              <w:rPr>
                <w:sz w:val="1"/>
                <w:szCs w:val="1"/>
                <w:color w:val="auto"/>
              </w:rPr>
            </w:pPr>
          </w:p>
        </w:tc>
      </w:tr>
      <w:tr>
        <w:trPr>
          <w:trHeight w:val="23"/>
        </w:trPr>
        <w:tc>
          <w:tcPr>
            <w:tcW w:w="2080" w:type="dxa"/>
            <w:vAlign w:val="bottom"/>
          </w:tcPr>
          <w:p>
            <w:pPr>
              <w:spacing w:after="0"/>
              <w:rPr>
                <w:sz w:val="2"/>
                <w:szCs w:val="2"/>
                <w:color w:val="auto"/>
              </w:rPr>
            </w:pPr>
          </w:p>
        </w:tc>
        <w:tc>
          <w:tcPr>
            <w:tcW w:w="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1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US Midwest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8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132,072</w:t>
            </w:r>
          </w:p>
        </w:tc>
        <w:tc>
          <w:tcPr>
            <w:tcW w:w="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4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bottom w:val="single" w:sz="8" w:color="CCEEFF"/>
            </w:tcBorders>
            <w:shd w:val="clear" w:color="auto" w:fill="CCEEFF"/>
          </w:tcPr>
          <w:p>
            <w:pPr>
              <w:spacing w:after="0"/>
              <w:rPr>
                <w:sz w:val="18"/>
                <w:szCs w:val="18"/>
                <w:color w:val="auto"/>
              </w:rPr>
            </w:pPr>
          </w:p>
        </w:tc>
        <w:tc>
          <w:tcPr>
            <w:tcW w:w="14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132,072</w:t>
            </w:r>
          </w:p>
        </w:tc>
        <w:tc>
          <w:tcPr>
            <w:tcW w:w="100" w:type="dxa"/>
            <w:vAlign w:val="bottom"/>
            <w:tcBorders>
              <w:bottom w:val="single" w:sz="8" w:color="CCEEFF"/>
            </w:tcBorders>
            <w:shd w:val="clear" w:color="auto" w:fill="CCEEFF"/>
          </w:tcPr>
          <w:p>
            <w:pPr>
              <w:spacing w:after="0"/>
              <w:rPr>
                <w:sz w:val="18"/>
                <w:szCs w:val="18"/>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4.3 %</w:t>
            </w:r>
          </w:p>
        </w:tc>
        <w:tc>
          <w:tcPr>
            <w:tcW w:w="0" w:type="dxa"/>
            <w:vAlign w:val="bottom"/>
          </w:tcPr>
          <w:p>
            <w:pPr>
              <w:spacing w:after="0"/>
              <w:rPr>
                <w:sz w:val="1"/>
                <w:szCs w:val="1"/>
                <w:color w:val="auto"/>
              </w:rPr>
            </w:pPr>
          </w:p>
        </w:tc>
      </w:tr>
      <w:tr>
        <w:trPr>
          <w:trHeight w:val="186"/>
        </w:trPr>
        <w:tc>
          <w:tcPr>
            <w:tcW w:w="21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111</w:t>
            </w:r>
          </w:p>
        </w:tc>
        <w:tc>
          <w:tcPr>
            <w:tcW w:w="80" w:type="dxa"/>
            <w:vAlign w:val="bottom"/>
          </w:tcPr>
          <w:p>
            <w:pPr>
              <w:spacing w:after="0"/>
              <w:rPr>
                <w:sz w:val="16"/>
                <w:szCs w:val="16"/>
                <w:color w:val="auto"/>
              </w:rPr>
            </w:pPr>
          </w:p>
        </w:tc>
        <w:tc>
          <w:tcPr>
            <w:tcW w:w="240" w:type="dxa"/>
            <w:vAlign w:val="bottom"/>
            <w:tcBorders>
              <w:top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3,047,731</w:t>
            </w:r>
          </w:p>
        </w:tc>
        <w:tc>
          <w:tcPr>
            <w:tcW w:w="80" w:type="dxa"/>
            <w:vAlign w:val="bottom"/>
          </w:tcPr>
          <w:p>
            <w:pPr>
              <w:spacing w:after="0"/>
              <w:rPr>
                <w:sz w:val="16"/>
                <w:szCs w:val="16"/>
                <w:color w:val="auto"/>
              </w:rPr>
            </w:pPr>
          </w:p>
        </w:tc>
        <w:tc>
          <w:tcPr>
            <w:tcW w:w="180" w:type="dxa"/>
            <w:vAlign w:val="bottom"/>
            <w:tcBorders>
              <w:top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3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15,105</w:t>
            </w:r>
          </w:p>
        </w:tc>
        <w:tc>
          <w:tcPr>
            <w:tcW w:w="80" w:type="dxa"/>
            <w:vAlign w:val="bottom"/>
          </w:tcPr>
          <w:p>
            <w:pPr>
              <w:spacing w:after="0"/>
              <w:rPr>
                <w:sz w:val="16"/>
                <w:szCs w:val="16"/>
                <w:color w:val="auto"/>
              </w:rPr>
            </w:pPr>
          </w:p>
        </w:tc>
        <w:tc>
          <w:tcPr>
            <w:tcW w:w="180" w:type="dxa"/>
            <w:vAlign w:val="bottom"/>
            <w:tcBorders>
              <w:top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3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19,488</w:t>
            </w:r>
          </w:p>
        </w:tc>
        <w:tc>
          <w:tcPr>
            <w:tcW w:w="80" w:type="dxa"/>
            <w:vAlign w:val="bottom"/>
          </w:tcPr>
          <w:p>
            <w:pPr>
              <w:spacing w:after="0"/>
              <w:rPr>
                <w:sz w:val="16"/>
                <w:szCs w:val="16"/>
                <w:color w:val="auto"/>
              </w:rPr>
            </w:pPr>
          </w:p>
        </w:tc>
        <w:tc>
          <w:tcPr>
            <w:tcW w:w="320" w:type="dxa"/>
            <w:vAlign w:val="bottom"/>
            <w:tcBorders>
              <w:top w:val="single" w:sz="8" w:color="auto"/>
            </w:tcBorders>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3,082,324</w:t>
            </w:r>
          </w:p>
        </w:tc>
        <w:tc>
          <w:tcPr>
            <w:tcW w:w="100" w:type="dxa"/>
            <w:vAlign w:val="bottom"/>
          </w:tcPr>
          <w:p>
            <w:pPr>
              <w:spacing w:after="0"/>
              <w:rPr>
                <w:sz w:val="16"/>
                <w:szCs w:val="16"/>
                <w:color w:val="auto"/>
              </w:rPr>
            </w:pPr>
          </w:p>
        </w:tc>
        <w:tc>
          <w:tcPr>
            <w:tcW w:w="1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100.0 %</w:t>
            </w:r>
          </w:p>
        </w:tc>
        <w:tc>
          <w:tcPr>
            <w:tcW w:w="0" w:type="dxa"/>
            <w:vAlign w:val="bottom"/>
          </w:tcPr>
          <w:p>
            <w:pPr>
              <w:spacing w:after="0"/>
              <w:rPr>
                <w:sz w:val="1"/>
                <w:szCs w:val="1"/>
                <w:color w:val="auto"/>
              </w:rPr>
            </w:pPr>
          </w:p>
        </w:tc>
      </w:tr>
      <w:tr>
        <w:trPr>
          <w:trHeight w:val="23"/>
        </w:trPr>
        <w:tc>
          <w:tcPr>
            <w:tcW w:w="2080" w:type="dxa"/>
            <w:vAlign w:val="bottom"/>
          </w:tcPr>
          <w:p>
            <w:pPr>
              <w:spacing w:after="0"/>
              <w:rPr>
                <w:sz w:val="2"/>
                <w:szCs w:val="2"/>
                <w:color w:val="auto"/>
              </w:rPr>
            </w:pPr>
          </w:p>
        </w:tc>
        <w:tc>
          <w:tcPr>
            <w:tcW w:w="80" w:type="dxa"/>
            <w:vAlign w:val="bottom"/>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0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_________________________________________</w:t>
      </w:r>
    </w:p>
    <w:p>
      <w:pPr>
        <w:spacing w:after="0" w:line="27" w:lineRule="exact"/>
        <w:rPr>
          <w:sz w:val="20"/>
          <w:szCs w:val="20"/>
          <w:color w:val="auto"/>
        </w:rPr>
      </w:pPr>
    </w:p>
    <w:p>
      <w:pPr>
        <w:ind w:left="320" w:hanging="312"/>
        <w:spacing w:after="0"/>
        <w:tabs>
          <w:tab w:leader="none" w:pos="320" w:val="left"/>
        </w:tabs>
        <w:numPr>
          <w:ilvl w:val="0"/>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Carrying value at our share represents the proportionate carrying value based on ownership by asset as of September 30, 2026.</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52" w:name="page53"/>
    <w:bookmarkEnd w:id="5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provides asset level detail for our senior and mezzanine loans and preferred equity as of September 30, 2026 (dollars in thousands):</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9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w w:val="98"/>
              </w:rPr>
              <w:t>Origination</w:t>
            </w:r>
          </w:p>
        </w:tc>
        <w:tc>
          <w:tcPr>
            <w:tcW w:w="1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gridSpan w:val="2"/>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w w:val="97"/>
              </w:rPr>
              <w:t>Carrying</w:t>
            </w:r>
          </w:p>
        </w:tc>
        <w:tc>
          <w:tcPr>
            <w:tcW w:w="100" w:type="dxa"/>
            <w:vAlign w:val="bottom"/>
          </w:tcPr>
          <w:p>
            <w:pPr>
              <w:spacing w:after="0"/>
              <w:rPr>
                <w:sz w:val="12"/>
                <w:szCs w:val="12"/>
                <w:color w:val="auto"/>
              </w:rPr>
            </w:pPr>
          </w:p>
        </w:tc>
        <w:tc>
          <w:tcPr>
            <w:tcW w:w="700" w:type="dxa"/>
            <w:vAlign w:val="bottom"/>
          </w:tcPr>
          <w:p>
            <w:pPr>
              <w:jc w:val="right"/>
              <w:ind w:right="96"/>
              <w:spacing w:after="0"/>
              <w:rPr>
                <w:sz w:val="20"/>
                <w:szCs w:val="20"/>
                <w:color w:val="auto"/>
              </w:rPr>
            </w:pPr>
            <w:r>
              <w:rPr>
                <w:rFonts w:ascii="Times New Roman" w:cs="Times New Roman" w:eastAsia="Times New Roman" w:hAnsi="Times New Roman"/>
                <w:sz w:val="13"/>
                <w:szCs w:val="13"/>
                <w:b w:val="1"/>
                <w:bCs w:val="1"/>
                <w:color w:val="auto"/>
              </w:rPr>
              <w:t>Principal</w:t>
            </w:r>
          </w:p>
        </w:tc>
        <w:tc>
          <w:tcPr>
            <w:tcW w:w="80" w:type="dxa"/>
            <w:vAlign w:val="bottom"/>
          </w:tcPr>
          <w:p>
            <w:pPr>
              <w:spacing w:after="0"/>
              <w:rPr>
                <w:sz w:val="12"/>
                <w:szCs w:val="12"/>
                <w:color w:val="auto"/>
              </w:rPr>
            </w:pPr>
          </w:p>
        </w:tc>
        <w:tc>
          <w:tcPr>
            <w:tcW w:w="800" w:type="dxa"/>
            <w:vAlign w:val="bottom"/>
            <w:gridSpan w:val="2"/>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w w:val="99"/>
              </w:rPr>
              <w:t>Coupon</w:t>
            </w:r>
          </w:p>
        </w:tc>
        <w:tc>
          <w:tcPr>
            <w:tcW w:w="880" w:type="dxa"/>
            <w:vAlign w:val="bottom"/>
            <w:gridSpan w:val="2"/>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w w:val="99"/>
              </w:rPr>
              <w:t>Cash</w:t>
            </w:r>
          </w:p>
        </w:tc>
        <w:tc>
          <w:tcPr>
            <w:tcW w:w="90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w w:val="96"/>
              </w:rPr>
              <w:t>Unlevered all-</w:t>
            </w:r>
          </w:p>
        </w:tc>
        <w:tc>
          <w:tcPr>
            <w:tcW w:w="90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w w:val="98"/>
              </w:rPr>
              <w:t>Extended</w:t>
            </w:r>
          </w:p>
        </w:tc>
        <w:tc>
          <w:tcPr>
            <w:tcW w:w="94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w w:val="99"/>
              </w:rPr>
              <w:t>Loan-to-</w:t>
            </w:r>
          </w:p>
        </w:tc>
        <w:tc>
          <w:tcPr>
            <w:tcW w:w="84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Q3 Risk</w:t>
            </w:r>
          </w:p>
        </w:tc>
      </w:tr>
      <w:tr>
        <w:trPr>
          <w:trHeight w:val="189"/>
        </w:trPr>
        <w:tc>
          <w:tcPr>
            <w:tcW w:w="900" w:type="dxa"/>
            <w:vAlign w:val="bottom"/>
          </w:tcPr>
          <w:p>
            <w:pPr>
              <w:spacing w:after="0"/>
              <w:rPr>
                <w:sz w:val="16"/>
                <w:szCs w:val="16"/>
                <w:color w:val="auto"/>
              </w:rPr>
            </w:pPr>
          </w:p>
        </w:tc>
        <w:tc>
          <w:tcPr>
            <w:tcW w:w="880" w:type="dxa"/>
            <w:vAlign w:val="bottom"/>
            <w:gridSpan w:val="2"/>
          </w:tcPr>
          <w:p>
            <w:pPr>
              <w:ind w:left="100"/>
              <w:spacing w:after="0"/>
              <w:rPr>
                <w:sz w:val="20"/>
                <w:szCs w:val="20"/>
                <w:color w:val="auto"/>
              </w:rPr>
            </w:pPr>
            <w:r>
              <w:rPr>
                <w:rFonts w:ascii="Times New Roman" w:cs="Times New Roman" w:eastAsia="Times New Roman" w:hAnsi="Times New Roman"/>
                <w:sz w:val="13"/>
                <w:szCs w:val="13"/>
                <w:b w:val="1"/>
                <w:bCs w:val="1"/>
                <w:color w:val="auto"/>
              </w:rPr>
              <w:t>Loan Type</w:t>
            </w:r>
          </w:p>
        </w:tc>
        <w:tc>
          <w:tcPr>
            <w:tcW w:w="98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w w:val="92"/>
              </w:rPr>
              <w:t>Date</w:t>
            </w:r>
          </w:p>
        </w:tc>
        <w:tc>
          <w:tcPr>
            <w:tcW w:w="1440" w:type="dxa"/>
            <w:vAlign w:val="bottom"/>
            <w:gridSpan w:val="2"/>
          </w:tcPr>
          <w:p>
            <w:pPr>
              <w:ind w:left="400"/>
              <w:spacing w:after="0"/>
              <w:rPr>
                <w:sz w:val="20"/>
                <w:szCs w:val="20"/>
                <w:color w:val="auto"/>
              </w:rPr>
            </w:pPr>
            <w:r>
              <w:rPr>
                <w:rFonts w:ascii="Times New Roman" w:cs="Times New Roman" w:eastAsia="Times New Roman" w:hAnsi="Times New Roman"/>
                <w:sz w:val="13"/>
                <w:szCs w:val="13"/>
                <w:b w:val="1"/>
                <w:bCs w:val="1"/>
                <w:color w:val="auto"/>
              </w:rPr>
              <w:t>City, State</w:t>
            </w:r>
          </w:p>
        </w:tc>
        <w:tc>
          <w:tcPr>
            <w:tcW w:w="120" w:type="dxa"/>
            <w:vAlign w:val="bottom"/>
          </w:tcPr>
          <w:p>
            <w:pPr>
              <w:spacing w:after="0"/>
              <w:rPr>
                <w:sz w:val="16"/>
                <w:szCs w:val="16"/>
                <w:color w:val="auto"/>
              </w:rPr>
            </w:pPr>
          </w:p>
        </w:tc>
        <w:tc>
          <w:tcPr>
            <w:tcW w:w="780" w:type="dxa"/>
            <w:vAlign w:val="bottom"/>
            <w:gridSpan w:val="2"/>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w w:val="90"/>
              </w:rPr>
              <w:t>value</w:t>
            </w:r>
            <w:r>
              <w:rPr>
                <w:rFonts w:ascii="Times New Roman" w:cs="Times New Roman" w:eastAsia="Times New Roman" w:hAnsi="Times New Roman"/>
                <w:sz w:val="16"/>
                <w:szCs w:val="16"/>
                <w:b w:val="1"/>
                <w:bCs w:val="1"/>
                <w:color w:val="auto"/>
                <w:w w:val="90"/>
                <w:vertAlign w:val="superscript"/>
              </w:rPr>
              <w:t>(1)</w:t>
            </w:r>
          </w:p>
        </w:tc>
        <w:tc>
          <w:tcPr>
            <w:tcW w:w="100" w:type="dxa"/>
            <w:vAlign w:val="bottom"/>
          </w:tcPr>
          <w:p>
            <w:pPr>
              <w:spacing w:after="0"/>
              <w:rPr>
                <w:sz w:val="16"/>
                <w:szCs w:val="16"/>
                <w:color w:val="auto"/>
              </w:rPr>
            </w:pPr>
          </w:p>
        </w:tc>
        <w:tc>
          <w:tcPr>
            <w:tcW w:w="700" w:type="dxa"/>
            <w:vAlign w:val="bottom"/>
          </w:tcPr>
          <w:p>
            <w:pPr>
              <w:jc w:val="right"/>
              <w:ind w:right="136"/>
              <w:spacing w:after="0"/>
              <w:rPr>
                <w:sz w:val="20"/>
                <w:szCs w:val="20"/>
                <w:color w:val="auto"/>
              </w:rPr>
            </w:pPr>
            <w:r>
              <w:rPr>
                <w:rFonts w:ascii="Times New Roman" w:cs="Times New Roman" w:eastAsia="Times New Roman" w:hAnsi="Times New Roman"/>
                <w:sz w:val="13"/>
                <w:szCs w:val="13"/>
                <w:b w:val="1"/>
                <w:bCs w:val="1"/>
                <w:color w:val="auto"/>
              </w:rPr>
              <w:t>balance</w:t>
            </w:r>
          </w:p>
        </w:tc>
        <w:tc>
          <w:tcPr>
            <w:tcW w:w="80" w:type="dxa"/>
            <w:vAlign w:val="bottom"/>
          </w:tcPr>
          <w:p>
            <w:pPr>
              <w:spacing w:after="0"/>
              <w:rPr>
                <w:sz w:val="16"/>
                <w:szCs w:val="16"/>
                <w:color w:val="auto"/>
              </w:rPr>
            </w:pPr>
          </w:p>
        </w:tc>
        <w:tc>
          <w:tcPr>
            <w:tcW w:w="800" w:type="dxa"/>
            <w:vAlign w:val="bottom"/>
            <w:gridSpan w:val="2"/>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rPr>
              <w:t>type</w:t>
            </w:r>
          </w:p>
        </w:tc>
        <w:tc>
          <w:tcPr>
            <w:tcW w:w="880" w:type="dxa"/>
            <w:vAlign w:val="bottom"/>
            <w:gridSpan w:val="2"/>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w w:val="91"/>
              </w:rPr>
              <w:t>Coupon</w:t>
            </w:r>
            <w:r>
              <w:rPr>
                <w:rFonts w:ascii="Times New Roman" w:cs="Times New Roman" w:eastAsia="Times New Roman" w:hAnsi="Times New Roman"/>
                <w:sz w:val="16"/>
                <w:szCs w:val="16"/>
                <w:b w:val="1"/>
                <w:bCs w:val="1"/>
                <w:color w:val="auto"/>
                <w:w w:val="91"/>
                <w:vertAlign w:val="superscript"/>
              </w:rPr>
              <w:t>(2)</w:t>
            </w:r>
          </w:p>
        </w:tc>
        <w:tc>
          <w:tcPr>
            <w:tcW w:w="90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w w:val="90"/>
              </w:rPr>
              <w:t>in yield</w:t>
            </w:r>
            <w:r>
              <w:rPr>
                <w:rFonts w:ascii="Times New Roman" w:cs="Times New Roman" w:eastAsia="Times New Roman" w:hAnsi="Times New Roman"/>
                <w:sz w:val="16"/>
                <w:szCs w:val="16"/>
                <w:b w:val="1"/>
                <w:bCs w:val="1"/>
                <w:color w:val="auto"/>
                <w:w w:val="90"/>
                <w:vertAlign w:val="superscript"/>
              </w:rPr>
              <w:t>(3)</w:t>
            </w:r>
          </w:p>
        </w:tc>
        <w:tc>
          <w:tcPr>
            <w:tcW w:w="900" w:type="dxa"/>
            <w:vAlign w:val="bottom"/>
            <w:gridSpan w:val="2"/>
          </w:tcPr>
          <w:p>
            <w:pPr>
              <w:jc w:val="center"/>
              <w:ind w:right="120"/>
              <w:spacing w:after="0"/>
              <w:rPr>
                <w:sz w:val="20"/>
                <w:szCs w:val="20"/>
                <w:color w:val="auto"/>
              </w:rPr>
            </w:pPr>
            <w:r>
              <w:rPr>
                <w:rFonts w:ascii="Times New Roman" w:cs="Times New Roman" w:eastAsia="Times New Roman" w:hAnsi="Times New Roman"/>
                <w:sz w:val="13"/>
                <w:szCs w:val="13"/>
                <w:b w:val="1"/>
                <w:bCs w:val="1"/>
                <w:color w:val="auto"/>
                <w:w w:val="97"/>
              </w:rPr>
              <w:t>maturity date</w:t>
            </w:r>
          </w:p>
        </w:tc>
        <w:tc>
          <w:tcPr>
            <w:tcW w:w="940" w:type="dxa"/>
            <w:vAlign w:val="bottom"/>
            <w:gridSpan w:val="2"/>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w w:val="90"/>
              </w:rPr>
              <w:t>value</w:t>
            </w:r>
            <w:r>
              <w:rPr>
                <w:rFonts w:ascii="Times New Roman" w:cs="Times New Roman" w:eastAsia="Times New Roman" w:hAnsi="Times New Roman"/>
                <w:sz w:val="16"/>
                <w:szCs w:val="16"/>
                <w:b w:val="1"/>
                <w:bCs w:val="1"/>
                <w:color w:val="auto"/>
                <w:w w:val="90"/>
                <w:vertAlign w:val="superscript"/>
              </w:rPr>
              <w:t>(4)</w:t>
            </w:r>
          </w:p>
        </w:tc>
        <w:tc>
          <w:tcPr>
            <w:tcW w:w="84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1"/>
              </w:rPr>
              <w:t>ranking</w:t>
            </w:r>
            <w:r>
              <w:rPr>
                <w:rFonts w:ascii="Times New Roman" w:cs="Times New Roman" w:eastAsia="Times New Roman" w:hAnsi="Times New Roman"/>
                <w:sz w:val="16"/>
                <w:szCs w:val="16"/>
                <w:b w:val="1"/>
                <w:bCs w:val="1"/>
                <w:color w:val="auto"/>
                <w:w w:val="91"/>
                <w:vertAlign w:val="superscript"/>
              </w:rPr>
              <w:t>(5)</w:t>
            </w:r>
          </w:p>
        </w:tc>
      </w:tr>
      <w:tr>
        <w:trPr>
          <w:trHeight w:val="88"/>
        </w:trPr>
        <w:tc>
          <w:tcPr>
            <w:tcW w:w="900" w:type="dxa"/>
            <w:vAlign w:val="bottom"/>
          </w:tcPr>
          <w:p>
            <w:pPr>
              <w:spacing w:after="0"/>
              <w:rPr>
                <w:sz w:val="7"/>
                <w:szCs w:val="7"/>
                <w:color w:val="auto"/>
              </w:rPr>
            </w:pPr>
          </w:p>
        </w:tc>
        <w:tc>
          <w:tcPr>
            <w:tcW w:w="780" w:type="dxa"/>
            <w:vAlign w:val="bottom"/>
            <w:tcBorders>
              <w:top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880" w:type="dxa"/>
            <w:vAlign w:val="bottom"/>
            <w:tcBorders>
              <w:top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1360" w:type="dxa"/>
            <w:vAlign w:val="bottom"/>
            <w:tcBorders>
              <w:top w:val="single" w:sz="8" w:color="auto"/>
            </w:tcBorders>
          </w:tcPr>
          <w:p>
            <w:pPr>
              <w:spacing w:after="0"/>
              <w:rPr>
                <w:sz w:val="7"/>
                <w:szCs w:val="7"/>
                <w:color w:val="auto"/>
              </w:rPr>
            </w:pPr>
          </w:p>
        </w:tc>
        <w:tc>
          <w:tcPr>
            <w:tcW w:w="80" w:type="dxa"/>
            <w:vAlign w:val="bottom"/>
          </w:tcPr>
          <w:p>
            <w:pPr>
              <w:spacing w:after="0"/>
              <w:rPr>
                <w:sz w:val="7"/>
                <w:szCs w:val="7"/>
                <w:color w:val="auto"/>
              </w:rPr>
            </w:pPr>
          </w:p>
        </w:tc>
        <w:tc>
          <w:tcPr>
            <w:tcW w:w="120" w:type="dxa"/>
            <w:vAlign w:val="bottom"/>
            <w:tcBorders>
              <w:top w:val="single" w:sz="8" w:color="auto"/>
            </w:tcBorders>
          </w:tcPr>
          <w:p>
            <w:pPr>
              <w:spacing w:after="0"/>
              <w:rPr>
                <w:sz w:val="7"/>
                <w:szCs w:val="7"/>
                <w:color w:val="auto"/>
              </w:rPr>
            </w:pPr>
          </w:p>
        </w:tc>
        <w:tc>
          <w:tcPr>
            <w:tcW w:w="680" w:type="dxa"/>
            <w:vAlign w:val="bottom"/>
            <w:tcBorders>
              <w:top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100" w:type="dxa"/>
            <w:vAlign w:val="bottom"/>
            <w:tcBorders>
              <w:top w:val="single" w:sz="8" w:color="auto"/>
            </w:tcBorders>
          </w:tcPr>
          <w:p>
            <w:pPr>
              <w:spacing w:after="0"/>
              <w:rPr>
                <w:sz w:val="7"/>
                <w:szCs w:val="7"/>
                <w:color w:val="auto"/>
              </w:rPr>
            </w:pPr>
          </w:p>
        </w:tc>
        <w:tc>
          <w:tcPr>
            <w:tcW w:w="700" w:type="dxa"/>
            <w:vAlign w:val="bottom"/>
            <w:tcBorders>
              <w:top w:val="single" w:sz="8" w:color="auto"/>
            </w:tcBorders>
          </w:tcPr>
          <w:p>
            <w:pPr>
              <w:spacing w:after="0"/>
              <w:rPr>
                <w:sz w:val="7"/>
                <w:szCs w:val="7"/>
                <w:color w:val="auto"/>
              </w:rPr>
            </w:pPr>
          </w:p>
        </w:tc>
        <w:tc>
          <w:tcPr>
            <w:tcW w:w="80" w:type="dxa"/>
            <w:vAlign w:val="bottom"/>
          </w:tcPr>
          <w:p>
            <w:pPr>
              <w:spacing w:after="0"/>
              <w:rPr>
                <w:sz w:val="7"/>
                <w:szCs w:val="7"/>
                <w:color w:val="auto"/>
              </w:rPr>
            </w:pPr>
          </w:p>
        </w:tc>
        <w:tc>
          <w:tcPr>
            <w:tcW w:w="720" w:type="dxa"/>
            <w:vAlign w:val="bottom"/>
            <w:tcBorders>
              <w:top w:val="single" w:sz="8" w:color="auto"/>
            </w:tcBorders>
          </w:tcPr>
          <w:p>
            <w:pPr>
              <w:spacing w:after="0"/>
              <w:rPr>
                <w:sz w:val="7"/>
                <w:szCs w:val="7"/>
                <w:color w:val="auto"/>
              </w:rPr>
            </w:pPr>
          </w:p>
        </w:tc>
        <w:tc>
          <w:tcPr>
            <w:tcW w:w="80" w:type="dxa"/>
            <w:vAlign w:val="bottom"/>
          </w:tcPr>
          <w:p>
            <w:pPr>
              <w:spacing w:after="0"/>
              <w:rPr>
                <w:sz w:val="7"/>
                <w:szCs w:val="7"/>
                <w:color w:val="auto"/>
              </w:rPr>
            </w:pPr>
          </w:p>
        </w:tc>
        <w:tc>
          <w:tcPr>
            <w:tcW w:w="780" w:type="dxa"/>
            <w:vAlign w:val="bottom"/>
            <w:tcBorders>
              <w:top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840" w:type="dxa"/>
            <w:vAlign w:val="bottom"/>
            <w:tcBorders>
              <w:top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840" w:type="dxa"/>
            <w:vAlign w:val="bottom"/>
            <w:tcBorders>
              <w:top w:val="single" w:sz="8" w:color="auto"/>
            </w:tcBorders>
          </w:tcPr>
          <w:p>
            <w:pPr>
              <w:spacing w:after="0"/>
              <w:rPr>
                <w:sz w:val="7"/>
                <w:szCs w:val="7"/>
                <w:color w:val="auto"/>
              </w:rPr>
            </w:pPr>
          </w:p>
        </w:tc>
      </w:tr>
      <w:tr>
        <w:trPr>
          <w:trHeight w:val="227"/>
        </w:trPr>
        <w:tc>
          <w:tcPr>
            <w:tcW w:w="90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580" w:type="dxa"/>
            <w:vAlign w:val="bottom"/>
            <w:tcBorders>
              <w:bottom w:val="single" w:sz="8" w:color="auto"/>
            </w:tcBorders>
            <w:gridSpan w:val="4"/>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Multifamily</w:t>
            </w:r>
          </w:p>
        </w:tc>
        <w:tc>
          <w:tcPr>
            <w:tcW w:w="78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spacing w:after="0"/>
              <w:rPr>
                <w:sz w:val="19"/>
                <w:szCs w:val="19"/>
                <w:color w:val="auto"/>
              </w:rPr>
            </w:pPr>
          </w:p>
        </w:tc>
      </w:tr>
      <w:tr>
        <w:trPr>
          <w:trHeight w:val="178"/>
        </w:trPr>
        <w:tc>
          <w:tcPr>
            <w:tcW w:w="9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Loan 1</w:t>
            </w:r>
          </w:p>
        </w:tc>
        <w:tc>
          <w:tcPr>
            <w:tcW w:w="88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Senior</w:t>
            </w:r>
          </w:p>
        </w:tc>
        <w:tc>
          <w:tcPr>
            <w:tcW w:w="88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4"/>
              </w:rPr>
              <w:t>12/12/2025</w:t>
            </w:r>
          </w:p>
        </w:tc>
        <w:tc>
          <w:tcPr>
            <w:tcW w:w="100" w:type="dxa"/>
            <w:vAlign w:val="bottom"/>
          </w:tcPr>
          <w:p>
            <w:pPr>
              <w:spacing w:after="0"/>
              <w:rPr>
                <w:sz w:val="15"/>
                <w:szCs w:val="15"/>
                <w:color w:val="auto"/>
              </w:rPr>
            </w:pPr>
          </w:p>
        </w:tc>
        <w:tc>
          <w:tcPr>
            <w:tcW w:w="144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Los Angeles, CA</w:t>
            </w: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70,262</w:t>
            </w:r>
          </w:p>
        </w:tc>
        <w:tc>
          <w:tcPr>
            <w:tcW w:w="10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70,800</w:t>
            </w:r>
          </w:p>
        </w:tc>
        <w:tc>
          <w:tcPr>
            <w:tcW w:w="80" w:type="dxa"/>
            <w:vAlign w:val="bottom"/>
          </w:tcPr>
          <w:p>
            <w:pPr>
              <w:spacing w:after="0"/>
              <w:rPr>
                <w:sz w:val="15"/>
                <w:szCs w:val="15"/>
                <w:color w:val="auto"/>
              </w:rPr>
            </w:pPr>
          </w:p>
        </w:tc>
        <w:tc>
          <w:tcPr>
            <w:tcW w:w="80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color w:val="auto"/>
                <w:w w:val="96"/>
              </w:rPr>
              <w:t>Floating</w:t>
            </w:r>
          </w:p>
        </w:tc>
        <w:tc>
          <w:tcPr>
            <w:tcW w:w="78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5"/>
              </w:rPr>
              <w:t>2.4%</w:t>
            </w:r>
          </w:p>
        </w:tc>
        <w:tc>
          <w:tcPr>
            <w:tcW w:w="100" w:type="dxa"/>
            <w:vAlign w:val="bottom"/>
          </w:tcPr>
          <w:p>
            <w:pPr>
              <w:spacing w:after="0"/>
              <w:rPr>
                <w:sz w:val="15"/>
                <w:szCs w:val="15"/>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6.6%</w:t>
            </w:r>
          </w:p>
        </w:tc>
        <w:tc>
          <w:tcPr>
            <w:tcW w:w="100" w:type="dxa"/>
            <w:vAlign w:val="bottom"/>
          </w:tcPr>
          <w:p>
            <w:pPr>
              <w:spacing w:after="0"/>
              <w:rPr>
                <w:sz w:val="15"/>
                <w:szCs w:val="15"/>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5"/>
              </w:rPr>
              <w:t>1/9/2031</w:t>
            </w:r>
          </w:p>
        </w:tc>
        <w:tc>
          <w:tcPr>
            <w:tcW w:w="100" w:type="dxa"/>
            <w:vAlign w:val="bottom"/>
          </w:tcPr>
          <w:p>
            <w:pPr>
              <w:spacing w:after="0"/>
              <w:rPr>
                <w:sz w:val="15"/>
                <w:szCs w:val="15"/>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76%</w:t>
            </w:r>
          </w:p>
        </w:tc>
        <w:tc>
          <w:tcPr>
            <w:tcW w:w="100" w:type="dxa"/>
            <w:vAlign w:val="bottom"/>
          </w:tcPr>
          <w:p>
            <w:pPr>
              <w:spacing w:after="0"/>
              <w:rPr>
                <w:sz w:val="15"/>
                <w:szCs w:val="15"/>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1"/>
              </w:rPr>
              <w:t>3</w:t>
            </w:r>
          </w:p>
        </w:tc>
      </w:tr>
      <w:tr>
        <w:trPr>
          <w:trHeight w:val="197"/>
        </w:trPr>
        <w:tc>
          <w:tcPr>
            <w:tcW w:w="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Loan 2</w:t>
            </w:r>
          </w:p>
        </w:tc>
        <w:tc>
          <w:tcPr>
            <w:tcW w:w="8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Senior</w:t>
            </w:r>
          </w:p>
        </w:tc>
        <w:tc>
          <w:tcPr>
            <w:tcW w:w="8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8"/>
              </w:rPr>
              <w:t>5/17/2022</w:t>
            </w:r>
          </w:p>
        </w:tc>
        <w:tc>
          <w:tcPr>
            <w:tcW w:w="100" w:type="dxa"/>
            <w:vAlign w:val="bottom"/>
            <w:shd w:val="clear" w:color="auto" w:fill="CCEEFF"/>
          </w:tcPr>
          <w:p>
            <w:pPr>
              <w:spacing w:after="0"/>
              <w:rPr>
                <w:sz w:val="17"/>
                <w:szCs w:val="17"/>
                <w:color w:val="auto"/>
              </w:rPr>
            </w:pPr>
          </w:p>
        </w:tc>
        <w:tc>
          <w:tcPr>
            <w:tcW w:w="14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Las Vegas, NV</w:t>
            </w: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56,855</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54,867</w:t>
            </w:r>
          </w:p>
        </w:tc>
        <w:tc>
          <w:tcPr>
            <w:tcW w:w="8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3"/>
                <w:szCs w:val="13"/>
                <w:color w:val="auto"/>
                <w:w w:val="96"/>
              </w:rPr>
              <w:t>Floating</w:t>
            </w:r>
          </w:p>
        </w:tc>
        <w:tc>
          <w:tcPr>
            <w:tcW w:w="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5"/>
              </w:rPr>
              <w:t>2.0%</w:t>
            </w: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5.9%</w:t>
            </w: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5"/>
              </w:rPr>
              <w:t>6/9/2027</w:t>
            </w: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74%</w:t>
            </w: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1"/>
              </w:rPr>
              <w:t>4</w:t>
            </w:r>
          </w:p>
        </w:tc>
      </w:tr>
      <w:tr>
        <w:trPr>
          <w:trHeight w:val="181"/>
        </w:trPr>
        <w:tc>
          <w:tcPr>
            <w:tcW w:w="9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Loan 3</w:t>
            </w:r>
          </w:p>
        </w:tc>
        <w:tc>
          <w:tcPr>
            <w:tcW w:w="88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Senior</w:t>
            </w:r>
          </w:p>
        </w:tc>
        <w:tc>
          <w:tcPr>
            <w:tcW w:w="88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8"/>
              </w:rPr>
              <w:t>8/28/2026</w:t>
            </w:r>
          </w:p>
        </w:tc>
        <w:tc>
          <w:tcPr>
            <w:tcW w:w="100" w:type="dxa"/>
            <w:vAlign w:val="bottom"/>
          </w:tcPr>
          <w:p>
            <w:pPr>
              <w:spacing w:after="0"/>
              <w:rPr>
                <w:sz w:val="15"/>
                <w:szCs w:val="15"/>
                <w:color w:val="auto"/>
              </w:rPr>
            </w:pPr>
          </w:p>
        </w:tc>
        <w:tc>
          <w:tcPr>
            <w:tcW w:w="144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Torrance, CA</w:t>
            </w:r>
          </w:p>
        </w:tc>
        <w:tc>
          <w:tcPr>
            <w:tcW w:w="12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53,836</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54,400</w:t>
            </w:r>
          </w:p>
        </w:tc>
        <w:tc>
          <w:tcPr>
            <w:tcW w:w="80" w:type="dxa"/>
            <w:vAlign w:val="bottom"/>
          </w:tcPr>
          <w:p>
            <w:pPr>
              <w:spacing w:after="0"/>
              <w:rPr>
                <w:sz w:val="15"/>
                <w:szCs w:val="15"/>
                <w:color w:val="auto"/>
              </w:rPr>
            </w:pPr>
          </w:p>
        </w:tc>
        <w:tc>
          <w:tcPr>
            <w:tcW w:w="80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color w:val="auto"/>
                <w:w w:val="96"/>
              </w:rPr>
              <w:t>Floating</w:t>
            </w:r>
          </w:p>
        </w:tc>
        <w:tc>
          <w:tcPr>
            <w:tcW w:w="78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5"/>
              </w:rPr>
              <w:t>2.3%</w:t>
            </w:r>
          </w:p>
        </w:tc>
        <w:tc>
          <w:tcPr>
            <w:tcW w:w="100" w:type="dxa"/>
            <w:vAlign w:val="bottom"/>
          </w:tcPr>
          <w:p>
            <w:pPr>
              <w:spacing w:after="0"/>
              <w:rPr>
                <w:sz w:val="15"/>
                <w:szCs w:val="15"/>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6.5%</w:t>
            </w:r>
          </w:p>
        </w:tc>
        <w:tc>
          <w:tcPr>
            <w:tcW w:w="100" w:type="dxa"/>
            <w:vAlign w:val="bottom"/>
          </w:tcPr>
          <w:p>
            <w:pPr>
              <w:spacing w:after="0"/>
              <w:rPr>
                <w:sz w:val="15"/>
                <w:szCs w:val="15"/>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5"/>
              </w:rPr>
              <w:t>9/9/2031</w:t>
            </w:r>
          </w:p>
        </w:tc>
        <w:tc>
          <w:tcPr>
            <w:tcW w:w="100" w:type="dxa"/>
            <w:vAlign w:val="bottom"/>
          </w:tcPr>
          <w:p>
            <w:pPr>
              <w:spacing w:after="0"/>
              <w:rPr>
                <w:sz w:val="15"/>
                <w:szCs w:val="15"/>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75%</w:t>
            </w:r>
          </w:p>
        </w:tc>
        <w:tc>
          <w:tcPr>
            <w:tcW w:w="100" w:type="dxa"/>
            <w:vAlign w:val="bottom"/>
          </w:tcPr>
          <w:p>
            <w:pPr>
              <w:spacing w:after="0"/>
              <w:rPr>
                <w:sz w:val="15"/>
                <w:szCs w:val="15"/>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1"/>
              </w:rPr>
              <w:t>3</w:t>
            </w:r>
          </w:p>
        </w:tc>
      </w:tr>
      <w:tr>
        <w:trPr>
          <w:trHeight w:val="197"/>
        </w:trPr>
        <w:tc>
          <w:tcPr>
            <w:tcW w:w="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Loan 4</w:t>
            </w:r>
          </w:p>
        </w:tc>
        <w:tc>
          <w:tcPr>
            <w:tcW w:w="8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Senior</w:t>
            </w:r>
          </w:p>
        </w:tc>
        <w:tc>
          <w:tcPr>
            <w:tcW w:w="8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4"/>
              </w:rPr>
              <w:t>12/10/2025</w:t>
            </w:r>
          </w:p>
        </w:tc>
        <w:tc>
          <w:tcPr>
            <w:tcW w:w="100" w:type="dxa"/>
            <w:vAlign w:val="bottom"/>
            <w:shd w:val="clear" w:color="auto" w:fill="CCEEFF"/>
          </w:tcPr>
          <w:p>
            <w:pPr>
              <w:spacing w:after="0"/>
              <w:rPr>
                <w:sz w:val="17"/>
                <w:szCs w:val="17"/>
                <w:color w:val="auto"/>
              </w:rPr>
            </w:pPr>
          </w:p>
        </w:tc>
        <w:tc>
          <w:tcPr>
            <w:tcW w:w="14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St. Louis, MO</w:t>
            </w: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52,660</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53,000</w:t>
            </w:r>
          </w:p>
        </w:tc>
        <w:tc>
          <w:tcPr>
            <w:tcW w:w="8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3"/>
                <w:szCs w:val="13"/>
                <w:color w:val="auto"/>
                <w:w w:val="96"/>
              </w:rPr>
              <w:t>Floating</w:t>
            </w:r>
          </w:p>
        </w:tc>
        <w:tc>
          <w:tcPr>
            <w:tcW w:w="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5"/>
              </w:rPr>
              <w:t>2.5%</w:t>
            </w: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6.9%</w:t>
            </w: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5"/>
              </w:rPr>
              <w:t>1/9/2031</w:t>
            </w: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68%</w:t>
            </w: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1"/>
              </w:rPr>
              <w:t>3</w:t>
            </w:r>
          </w:p>
        </w:tc>
      </w:tr>
      <w:tr>
        <w:trPr>
          <w:trHeight w:val="181"/>
        </w:trPr>
        <w:tc>
          <w:tcPr>
            <w:tcW w:w="9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Loan 5</w:t>
            </w:r>
          </w:p>
        </w:tc>
        <w:tc>
          <w:tcPr>
            <w:tcW w:w="88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Senior</w:t>
            </w:r>
          </w:p>
        </w:tc>
        <w:tc>
          <w:tcPr>
            <w:tcW w:w="88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8"/>
              </w:rPr>
              <w:t>9/25/2026</w:t>
            </w:r>
          </w:p>
        </w:tc>
        <w:tc>
          <w:tcPr>
            <w:tcW w:w="100" w:type="dxa"/>
            <w:vAlign w:val="bottom"/>
          </w:tcPr>
          <w:p>
            <w:pPr>
              <w:spacing w:after="0"/>
              <w:rPr>
                <w:sz w:val="15"/>
                <w:szCs w:val="15"/>
                <w:color w:val="auto"/>
              </w:rPr>
            </w:pPr>
          </w:p>
        </w:tc>
        <w:tc>
          <w:tcPr>
            <w:tcW w:w="144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Austin, TX</w:t>
            </w:r>
          </w:p>
        </w:tc>
        <w:tc>
          <w:tcPr>
            <w:tcW w:w="12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51,335</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51,860</w:t>
            </w:r>
          </w:p>
        </w:tc>
        <w:tc>
          <w:tcPr>
            <w:tcW w:w="80" w:type="dxa"/>
            <w:vAlign w:val="bottom"/>
          </w:tcPr>
          <w:p>
            <w:pPr>
              <w:spacing w:after="0"/>
              <w:rPr>
                <w:sz w:val="15"/>
                <w:szCs w:val="15"/>
                <w:color w:val="auto"/>
              </w:rPr>
            </w:pPr>
          </w:p>
        </w:tc>
        <w:tc>
          <w:tcPr>
            <w:tcW w:w="80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color w:val="auto"/>
                <w:w w:val="96"/>
              </w:rPr>
              <w:t>Floating</w:t>
            </w:r>
          </w:p>
        </w:tc>
        <w:tc>
          <w:tcPr>
            <w:tcW w:w="78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5"/>
              </w:rPr>
              <w:t>2.4%</w:t>
            </w:r>
          </w:p>
        </w:tc>
        <w:tc>
          <w:tcPr>
            <w:tcW w:w="100" w:type="dxa"/>
            <w:vAlign w:val="bottom"/>
          </w:tcPr>
          <w:p>
            <w:pPr>
              <w:spacing w:after="0"/>
              <w:rPr>
                <w:sz w:val="15"/>
                <w:szCs w:val="15"/>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6.8%</w:t>
            </w:r>
          </w:p>
        </w:tc>
        <w:tc>
          <w:tcPr>
            <w:tcW w:w="100" w:type="dxa"/>
            <w:vAlign w:val="bottom"/>
          </w:tcPr>
          <w:p>
            <w:pPr>
              <w:spacing w:after="0"/>
              <w:rPr>
                <w:sz w:val="15"/>
                <w:szCs w:val="15"/>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8"/>
              </w:rPr>
              <w:t>10/9/2031</w:t>
            </w:r>
          </w:p>
        </w:tc>
        <w:tc>
          <w:tcPr>
            <w:tcW w:w="100" w:type="dxa"/>
            <w:vAlign w:val="bottom"/>
          </w:tcPr>
          <w:p>
            <w:pPr>
              <w:spacing w:after="0"/>
              <w:rPr>
                <w:sz w:val="15"/>
                <w:szCs w:val="15"/>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70%</w:t>
            </w:r>
          </w:p>
        </w:tc>
        <w:tc>
          <w:tcPr>
            <w:tcW w:w="100" w:type="dxa"/>
            <w:vAlign w:val="bottom"/>
          </w:tcPr>
          <w:p>
            <w:pPr>
              <w:spacing w:after="0"/>
              <w:rPr>
                <w:sz w:val="15"/>
                <w:szCs w:val="15"/>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1"/>
              </w:rPr>
              <w:t>3</w:t>
            </w:r>
          </w:p>
        </w:tc>
      </w:tr>
      <w:tr>
        <w:trPr>
          <w:trHeight w:val="197"/>
        </w:trPr>
        <w:tc>
          <w:tcPr>
            <w:tcW w:w="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Loan 6</w:t>
            </w:r>
          </w:p>
        </w:tc>
        <w:tc>
          <w:tcPr>
            <w:tcW w:w="8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Senior</w:t>
            </w:r>
          </w:p>
        </w:tc>
        <w:tc>
          <w:tcPr>
            <w:tcW w:w="8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8"/>
              </w:rPr>
              <w:t>5/26/2021</w:t>
            </w:r>
          </w:p>
        </w:tc>
        <w:tc>
          <w:tcPr>
            <w:tcW w:w="100" w:type="dxa"/>
            <w:vAlign w:val="bottom"/>
            <w:shd w:val="clear" w:color="auto" w:fill="CCEEFF"/>
          </w:tcPr>
          <w:p>
            <w:pPr>
              <w:spacing w:after="0"/>
              <w:rPr>
                <w:sz w:val="17"/>
                <w:szCs w:val="17"/>
                <w:color w:val="auto"/>
              </w:rPr>
            </w:pPr>
          </w:p>
        </w:tc>
        <w:tc>
          <w:tcPr>
            <w:tcW w:w="14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Las Vegas, NV</w:t>
            </w: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48,225</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47,380</w:t>
            </w:r>
          </w:p>
        </w:tc>
        <w:tc>
          <w:tcPr>
            <w:tcW w:w="8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3"/>
                <w:szCs w:val="13"/>
                <w:color w:val="auto"/>
                <w:w w:val="96"/>
              </w:rPr>
              <w:t>Floating</w:t>
            </w:r>
          </w:p>
        </w:tc>
        <w:tc>
          <w:tcPr>
            <w:tcW w:w="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5"/>
              </w:rPr>
              <w:t>3.0%</w:t>
            </w: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6.9%</w:t>
            </w: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5"/>
              </w:rPr>
              <w:t>6/9/2028</w:t>
            </w: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80%</w:t>
            </w: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1"/>
              </w:rPr>
              <w:t>3</w:t>
            </w:r>
          </w:p>
        </w:tc>
      </w:tr>
      <w:tr>
        <w:trPr>
          <w:trHeight w:val="181"/>
        </w:trPr>
        <w:tc>
          <w:tcPr>
            <w:tcW w:w="9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Loan 7</w:t>
            </w:r>
          </w:p>
        </w:tc>
        <w:tc>
          <w:tcPr>
            <w:tcW w:w="88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Senior</w:t>
            </w:r>
          </w:p>
        </w:tc>
        <w:tc>
          <w:tcPr>
            <w:tcW w:w="88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8"/>
              </w:rPr>
              <w:t>5/29/2026</w:t>
            </w:r>
          </w:p>
        </w:tc>
        <w:tc>
          <w:tcPr>
            <w:tcW w:w="100" w:type="dxa"/>
            <w:vAlign w:val="bottom"/>
          </w:tcPr>
          <w:p>
            <w:pPr>
              <w:spacing w:after="0"/>
              <w:rPr>
                <w:sz w:val="15"/>
                <w:szCs w:val="15"/>
                <w:color w:val="auto"/>
              </w:rPr>
            </w:pPr>
          </w:p>
        </w:tc>
        <w:tc>
          <w:tcPr>
            <w:tcW w:w="144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Cypress, TX</w:t>
            </w:r>
          </w:p>
        </w:tc>
        <w:tc>
          <w:tcPr>
            <w:tcW w:w="12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47,130</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47,579</w:t>
            </w:r>
          </w:p>
        </w:tc>
        <w:tc>
          <w:tcPr>
            <w:tcW w:w="80" w:type="dxa"/>
            <w:vAlign w:val="bottom"/>
          </w:tcPr>
          <w:p>
            <w:pPr>
              <w:spacing w:after="0"/>
              <w:rPr>
                <w:sz w:val="15"/>
                <w:szCs w:val="15"/>
                <w:color w:val="auto"/>
              </w:rPr>
            </w:pPr>
          </w:p>
        </w:tc>
        <w:tc>
          <w:tcPr>
            <w:tcW w:w="80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color w:val="auto"/>
                <w:w w:val="96"/>
              </w:rPr>
              <w:t>Floating</w:t>
            </w:r>
          </w:p>
        </w:tc>
        <w:tc>
          <w:tcPr>
            <w:tcW w:w="78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5"/>
              </w:rPr>
              <w:t>2.3%</w:t>
            </w:r>
          </w:p>
        </w:tc>
        <w:tc>
          <w:tcPr>
            <w:tcW w:w="100" w:type="dxa"/>
            <w:vAlign w:val="bottom"/>
          </w:tcPr>
          <w:p>
            <w:pPr>
              <w:spacing w:after="0"/>
              <w:rPr>
                <w:sz w:val="15"/>
                <w:szCs w:val="15"/>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6.7%</w:t>
            </w:r>
          </w:p>
        </w:tc>
        <w:tc>
          <w:tcPr>
            <w:tcW w:w="100" w:type="dxa"/>
            <w:vAlign w:val="bottom"/>
          </w:tcPr>
          <w:p>
            <w:pPr>
              <w:spacing w:after="0"/>
              <w:rPr>
                <w:sz w:val="15"/>
                <w:szCs w:val="15"/>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5"/>
              </w:rPr>
              <w:t>6/9/2031</w:t>
            </w:r>
          </w:p>
        </w:tc>
        <w:tc>
          <w:tcPr>
            <w:tcW w:w="100" w:type="dxa"/>
            <w:vAlign w:val="bottom"/>
          </w:tcPr>
          <w:p>
            <w:pPr>
              <w:spacing w:after="0"/>
              <w:rPr>
                <w:sz w:val="15"/>
                <w:szCs w:val="15"/>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75%</w:t>
            </w:r>
          </w:p>
        </w:tc>
        <w:tc>
          <w:tcPr>
            <w:tcW w:w="100" w:type="dxa"/>
            <w:vAlign w:val="bottom"/>
          </w:tcPr>
          <w:p>
            <w:pPr>
              <w:spacing w:after="0"/>
              <w:rPr>
                <w:sz w:val="15"/>
                <w:szCs w:val="15"/>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1"/>
              </w:rPr>
              <w:t>3</w:t>
            </w:r>
          </w:p>
        </w:tc>
      </w:tr>
      <w:tr>
        <w:trPr>
          <w:trHeight w:val="197"/>
        </w:trPr>
        <w:tc>
          <w:tcPr>
            <w:tcW w:w="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Loan 8</w:t>
            </w:r>
          </w:p>
        </w:tc>
        <w:tc>
          <w:tcPr>
            <w:tcW w:w="8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Senior</w:t>
            </w:r>
          </w:p>
        </w:tc>
        <w:tc>
          <w:tcPr>
            <w:tcW w:w="8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8"/>
              </w:rPr>
              <w:t>3/17/2026</w:t>
            </w:r>
          </w:p>
        </w:tc>
        <w:tc>
          <w:tcPr>
            <w:tcW w:w="100" w:type="dxa"/>
            <w:vAlign w:val="bottom"/>
            <w:shd w:val="clear" w:color="auto" w:fill="CCEEFF"/>
          </w:tcPr>
          <w:p>
            <w:pPr>
              <w:spacing w:after="0"/>
              <w:rPr>
                <w:sz w:val="17"/>
                <w:szCs w:val="17"/>
                <w:color w:val="auto"/>
              </w:rPr>
            </w:pPr>
          </w:p>
        </w:tc>
        <w:tc>
          <w:tcPr>
            <w:tcW w:w="14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San Diego, CA</w:t>
            </w: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46,639</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47,000</w:t>
            </w:r>
          </w:p>
        </w:tc>
        <w:tc>
          <w:tcPr>
            <w:tcW w:w="8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3"/>
                <w:szCs w:val="13"/>
                <w:color w:val="auto"/>
                <w:w w:val="96"/>
              </w:rPr>
              <w:t>Floating</w:t>
            </w:r>
          </w:p>
        </w:tc>
        <w:tc>
          <w:tcPr>
            <w:tcW w:w="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5"/>
              </w:rPr>
              <w:t>2.4%</w:t>
            </w: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6.8%</w:t>
            </w: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5"/>
              </w:rPr>
              <w:t>4/9/2031</w:t>
            </w: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65%</w:t>
            </w: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1"/>
              </w:rPr>
              <w:t>3</w:t>
            </w:r>
          </w:p>
        </w:tc>
      </w:tr>
      <w:tr>
        <w:trPr>
          <w:trHeight w:val="181"/>
        </w:trPr>
        <w:tc>
          <w:tcPr>
            <w:tcW w:w="9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Loan 9</w:t>
            </w:r>
          </w:p>
        </w:tc>
        <w:tc>
          <w:tcPr>
            <w:tcW w:w="88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Senior</w:t>
            </w:r>
          </w:p>
        </w:tc>
        <w:tc>
          <w:tcPr>
            <w:tcW w:w="88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8"/>
              </w:rPr>
              <w:t>3/16/2026</w:t>
            </w:r>
          </w:p>
        </w:tc>
        <w:tc>
          <w:tcPr>
            <w:tcW w:w="100" w:type="dxa"/>
            <w:vAlign w:val="bottom"/>
          </w:tcPr>
          <w:p>
            <w:pPr>
              <w:spacing w:after="0"/>
              <w:rPr>
                <w:sz w:val="15"/>
                <w:szCs w:val="15"/>
                <w:color w:val="auto"/>
              </w:rPr>
            </w:pPr>
          </w:p>
        </w:tc>
        <w:tc>
          <w:tcPr>
            <w:tcW w:w="144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Sunnyvale, CA</w:t>
            </w:r>
          </w:p>
        </w:tc>
        <w:tc>
          <w:tcPr>
            <w:tcW w:w="12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46,036</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46,461</w:t>
            </w:r>
          </w:p>
        </w:tc>
        <w:tc>
          <w:tcPr>
            <w:tcW w:w="80" w:type="dxa"/>
            <w:vAlign w:val="bottom"/>
          </w:tcPr>
          <w:p>
            <w:pPr>
              <w:spacing w:after="0"/>
              <w:rPr>
                <w:sz w:val="15"/>
                <w:szCs w:val="15"/>
                <w:color w:val="auto"/>
              </w:rPr>
            </w:pPr>
          </w:p>
        </w:tc>
        <w:tc>
          <w:tcPr>
            <w:tcW w:w="80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color w:val="auto"/>
                <w:w w:val="96"/>
              </w:rPr>
              <w:t>Floating</w:t>
            </w:r>
          </w:p>
        </w:tc>
        <w:tc>
          <w:tcPr>
            <w:tcW w:w="78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5"/>
              </w:rPr>
              <w:t>2.4%</w:t>
            </w:r>
          </w:p>
        </w:tc>
        <w:tc>
          <w:tcPr>
            <w:tcW w:w="100" w:type="dxa"/>
            <w:vAlign w:val="bottom"/>
          </w:tcPr>
          <w:p>
            <w:pPr>
              <w:spacing w:after="0"/>
              <w:rPr>
                <w:sz w:val="15"/>
                <w:szCs w:val="15"/>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6.6%</w:t>
            </w:r>
          </w:p>
        </w:tc>
        <w:tc>
          <w:tcPr>
            <w:tcW w:w="100" w:type="dxa"/>
            <w:vAlign w:val="bottom"/>
          </w:tcPr>
          <w:p>
            <w:pPr>
              <w:spacing w:after="0"/>
              <w:rPr>
                <w:sz w:val="15"/>
                <w:szCs w:val="15"/>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5"/>
              </w:rPr>
              <w:t>4/9/2031</w:t>
            </w:r>
          </w:p>
        </w:tc>
        <w:tc>
          <w:tcPr>
            <w:tcW w:w="100" w:type="dxa"/>
            <w:vAlign w:val="bottom"/>
          </w:tcPr>
          <w:p>
            <w:pPr>
              <w:spacing w:after="0"/>
              <w:rPr>
                <w:sz w:val="15"/>
                <w:szCs w:val="15"/>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68%</w:t>
            </w:r>
          </w:p>
        </w:tc>
        <w:tc>
          <w:tcPr>
            <w:tcW w:w="100" w:type="dxa"/>
            <w:vAlign w:val="bottom"/>
          </w:tcPr>
          <w:p>
            <w:pPr>
              <w:spacing w:after="0"/>
              <w:rPr>
                <w:sz w:val="15"/>
                <w:szCs w:val="15"/>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1"/>
              </w:rPr>
              <w:t>3</w:t>
            </w:r>
          </w:p>
        </w:tc>
      </w:tr>
      <w:tr>
        <w:trPr>
          <w:trHeight w:val="197"/>
        </w:trPr>
        <w:tc>
          <w:tcPr>
            <w:tcW w:w="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Loan 10</w:t>
            </w:r>
          </w:p>
        </w:tc>
        <w:tc>
          <w:tcPr>
            <w:tcW w:w="8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Senior</w:t>
            </w:r>
          </w:p>
        </w:tc>
        <w:tc>
          <w:tcPr>
            <w:tcW w:w="8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5"/>
              </w:rPr>
              <w:t>1/8/2026</w:t>
            </w:r>
          </w:p>
        </w:tc>
        <w:tc>
          <w:tcPr>
            <w:tcW w:w="100" w:type="dxa"/>
            <w:vAlign w:val="bottom"/>
            <w:shd w:val="clear" w:color="auto" w:fill="CCEEFF"/>
          </w:tcPr>
          <w:p>
            <w:pPr>
              <w:spacing w:after="0"/>
              <w:rPr>
                <w:sz w:val="17"/>
                <w:szCs w:val="17"/>
                <w:color w:val="auto"/>
              </w:rPr>
            </w:pPr>
          </w:p>
        </w:tc>
        <w:tc>
          <w:tcPr>
            <w:tcW w:w="14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San Bernadino, CA</w:t>
            </w:r>
          </w:p>
        </w:tc>
        <w:tc>
          <w:tcPr>
            <w:tcW w:w="12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41,963</w:t>
            </w:r>
          </w:p>
        </w:tc>
        <w:tc>
          <w:tcPr>
            <w:tcW w:w="10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42,300</w:t>
            </w:r>
          </w:p>
        </w:tc>
        <w:tc>
          <w:tcPr>
            <w:tcW w:w="8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3"/>
                <w:szCs w:val="13"/>
                <w:color w:val="auto"/>
                <w:w w:val="96"/>
              </w:rPr>
              <w:t>Floating</w:t>
            </w:r>
          </w:p>
        </w:tc>
        <w:tc>
          <w:tcPr>
            <w:tcW w:w="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5"/>
              </w:rPr>
              <w:t>2.7%</w:t>
            </w: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6.9%</w:t>
            </w: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5"/>
              </w:rPr>
              <w:t>2/9/2031</w:t>
            </w: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71%</w:t>
            </w: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1"/>
              </w:rPr>
              <w:t>3</w:t>
            </w:r>
          </w:p>
        </w:tc>
      </w:tr>
      <w:tr>
        <w:trPr>
          <w:trHeight w:val="188"/>
        </w:trPr>
        <w:tc>
          <w:tcPr>
            <w:tcW w:w="178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Subtotal top 10 multifamily</w:t>
            </w: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514,941</w:t>
            </w:r>
          </w:p>
        </w:tc>
        <w:tc>
          <w:tcPr>
            <w:tcW w:w="10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515,647</w:t>
            </w:r>
          </w:p>
        </w:tc>
        <w:tc>
          <w:tcPr>
            <w:tcW w:w="80" w:type="dxa"/>
            <w:vAlign w:val="bottom"/>
          </w:tcPr>
          <w:p>
            <w:pPr>
              <w:spacing w:after="0"/>
              <w:rPr>
                <w:sz w:val="16"/>
                <w:szCs w:val="16"/>
                <w:color w:val="auto"/>
              </w:rPr>
            </w:pPr>
          </w:p>
        </w:tc>
        <w:tc>
          <w:tcPr>
            <w:tcW w:w="1680" w:type="dxa"/>
            <w:vAlign w:val="bottom"/>
            <w:gridSpan w:val="4"/>
          </w:tcPr>
          <w:p>
            <w:pPr>
              <w:ind w:left="20"/>
              <w:spacing w:after="0"/>
              <w:rPr>
                <w:sz w:val="20"/>
                <w:szCs w:val="20"/>
                <w:color w:val="auto"/>
              </w:rPr>
            </w:pPr>
            <w:r>
              <w:rPr>
                <w:rFonts w:ascii="Times New Roman" w:cs="Times New Roman" w:eastAsia="Times New Roman" w:hAnsi="Times New Roman"/>
                <w:sz w:val="13"/>
                <w:szCs w:val="13"/>
                <w:color w:val="auto"/>
              </w:rPr>
              <w:t>17% of total loans</w:t>
            </w: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r>
      <w:tr>
        <w:trPr>
          <w:trHeight w:val="494"/>
        </w:trPr>
        <w:tc>
          <w:tcPr>
            <w:tcW w:w="90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36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r>
      <w:tr>
        <w:trPr>
          <w:trHeight w:val="181"/>
        </w:trPr>
        <w:tc>
          <w:tcPr>
            <w:tcW w:w="9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Loan 11</w:t>
            </w:r>
          </w:p>
        </w:tc>
        <w:tc>
          <w:tcPr>
            <w:tcW w:w="88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Senior</w:t>
            </w:r>
          </w:p>
        </w:tc>
        <w:tc>
          <w:tcPr>
            <w:tcW w:w="88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8"/>
              </w:rPr>
              <w:t>11/6/2025</w:t>
            </w:r>
          </w:p>
        </w:tc>
        <w:tc>
          <w:tcPr>
            <w:tcW w:w="100" w:type="dxa"/>
            <w:vAlign w:val="bottom"/>
          </w:tcPr>
          <w:p>
            <w:pPr>
              <w:spacing w:after="0"/>
              <w:rPr>
                <w:sz w:val="15"/>
                <w:szCs w:val="15"/>
                <w:color w:val="auto"/>
              </w:rPr>
            </w:pPr>
          </w:p>
        </w:tc>
        <w:tc>
          <w:tcPr>
            <w:tcW w:w="144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Mesa, AZ</w:t>
            </w: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41,751</w:t>
            </w:r>
          </w:p>
        </w:tc>
        <w:tc>
          <w:tcPr>
            <w:tcW w:w="10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42,086</w:t>
            </w:r>
          </w:p>
        </w:tc>
        <w:tc>
          <w:tcPr>
            <w:tcW w:w="80" w:type="dxa"/>
            <w:vAlign w:val="bottom"/>
          </w:tcPr>
          <w:p>
            <w:pPr>
              <w:spacing w:after="0"/>
              <w:rPr>
                <w:sz w:val="15"/>
                <w:szCs w:val="15"/>
                <w:color w:val="auto"/>
              </w:rPr>
            </w:pPr>
          </w:p>
        </w:tc>
        <w:tc>
          <w:tcPr>
            <w:tcW w:w="80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color w:val="auto"/>
                <w:w w:val="96"/>
              </w:rPr>
              <w:t>Floating</w:t>
            </w:r>
          </w:p>
        </w:tc>
        <w:tc>
          <w:tcPr>
            <w:tcW w:w="78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5"/>
              </w:rPr>
              <w:t>2.6%</w:t>
            </w:r>
          </w:p>
        </w:tc>
        <w:tc>
          <w:tcPr>
            <w:tcW w:w="100" w:type="dxa"/>
            <w:vAlign w:val="bottom"/>
          </w:tcPr>
          <w:p>
            <w:pPr>
              <w:spacing w:after="0"/>
              <w:rPr>
                <w:sz w:val="15"/>
                <w:szCs w:val="15"/>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6.8%</w:t>
            </w:r>
          </w:p>
        </w:tc>
        <w:tc>
          <w:tcPr>
            <w:tcW w:w="100" w:type="dxa"/>
            <w:vAlign w:val="bottom"/>
          </w:tcPr>
          <w:p>
            <w:pPr>
              <w:spacing w:after="0"/>
              <w:rPr>
                <w:sz w:val="15"/>
                <w:szCs w:val="15"/>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8"/>
              </w:rPr>
              <w:t>11/9/2030</w:t>
            </w:r>
          </w:p>
        </w:tc>
        <w:tc>
          <w:tcPr>
            <w:tcW w:w="100" w:type="dxa"/>
            <w:vAlign w:val="bottom"/>
          </w:tcPr>
          <w:p>
            <w:pPr>
              <w:spacing w:after="0"/>
              <w:rPr>
                <w:sz w:val="15"/>
                <w:szCs w:val="15"/>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68%</w:t>
            </w:r>
          </w:p>
        </w:tc>
        <w:tc>
          <w:tcPr>
            <w:tcW w:w="100" w:type="dxa"/>
            <w:vAlign w:val="bottom"/>
          </w:tcPr>
          <w:p>
            <w:pPr>
              <w:spacing w:after="0"/>
              <w:rPr>
                <w:sz w:val="15"/>
                <w:szCs w:val="15"/>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1"/>
              </w:rPr>
              <w:t>3</w:t>
            </w:r>
          </w:p>
        </w:tc>
      </w:tr>
      <w:tr>
        <w:trPr>
          <w:trHeight w:val="197"/>
        </w:trPr>
        <w:tc>
          <w:tcPr>
            <w:tcW w:w="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Loan 12</w:t>
            </w:r>
          </w:p>
        </w:tc>
        <w:tc>
          <w:tcPr>
            <w:tcW w:w="8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Senior</w:t>
            </w:r>
          </w:p>
        </w:tc>
        <w:tc>
          <w:tcPr>
            <w:tcW w:w="8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8"/>
              </w:rPr>
              <w:t>3/31/2022</w:t>
            </w:r>
          </w:p>
        </w:tc>
        <w:tc>
          <w:tcPr>
            <w:tcW w:w="100" w:type="dxa"/>
            <w:vAlign w:val="bottom"/>
            <w:shd w:val="clear" w:color="auto" w:fill="CCEEFF"/>
          </w:tcPr>
          <w:p>
            <w:pPr>
              <w:spacing w:after="0"/>
              <w:rPr>
                <w:sz w:val="17"/>
                <w:szCs w:val="17"/>
                <w:color w:val="auto"/>
              </w:rPr>
            </w:pPr>
          </w:p>
        </w:tc>
        <w:tc>
          <w:tcPr>
            <w:tcW w:w="14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Louisville, KY</w:t>
            </w: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41,206</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41,095</w:t>
            </w:r>
          </w:p>
        </w:tc>
        <w:tc>
          <w:tcPr>
            <w:tcW w:w="8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3"/>
                <w:szCs w:val="13"/>
                <w:color w:val="auto"/>
                <w:w w:val="96"/>
              </w:rPr>
              <w:t>Floating</w:t>
            </w:r>
          </w:p>
        </w:tc>
        <w:tc>
          <w:tcPr>
            <w:tcW w:w="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5"/>
              </w:rPr>
              <w:t>2.8%</w:t>
            </w: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6.7%</w:t>
            </w: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5"/>
              </w:rPr>
              <w:t>4/9/2027</w:t>
            </w: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72%</w:t>
            </w: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1"/>
              </w:rPr>
              <w:t>3</w:t>
            </w:r>
          </w:p>
        </w:tc>
      </w:tr>
      <w:tr>
        <w:trPr>
          <w:trHeight w:val="181"/>
        </w:trPr>
        <w:tc>
          <w:tcPr>
            <w:tcW w:w="9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Loan 13</w:t>
            </w:r>
          </w:p>
        </w:tc>
        <w:tc>
          <w:tcPr>
            <w:tcW w:w="88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Senior</w:t>
            </w:r>
          </w:p>
        </w:tc>
        <w:tc>
          <w:tcPr>
            <w:tcW w:w="88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4"/>
              </w:rPr>
              <w:t>12/30/2025</w:t>
            </w:r>
          </w:p>
        </w:tc>
        <w:tc>
          <w:tcPr>
            <w:tcW w:w="100" w:type="dxa"/>
            <w:vAlign w:val="bottom"/>
          </w:tcPr>
          <w:p>
            <w:pPr>
              <w:spacing w:after="0"/>
              <w:rPr>
                <w:sz w:val="15"/>
                <w:szCs w:val="15"/>
                <w:color w:val="auto"/>
              </w:rPr>
            </w:pPr>
          </w:p>
        </w:tc>
        <w:tc>
          <w:tcPr>
            <w:tcW w:w="144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Madison, AL</w:t>
            </w:r>
          </w:p>
        </w:tc>
        <w:tc>
          <w:tcPr>
            <w:tcW w:w="12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41,176</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41,500</w:t>
            </w:r>
          </w:p>
        </w:tc>
        <w:tc>
          <w:tcPr>
            <w:tcW w:w="80" w:type="dxa"/>
            <w:vAlign w:val="bottom"/>
          </w:tcPr>
          <w:p>
            <w:pPr>
              <w:spacing w:after="0"/>
              <w:rPr>
                <w:sz w:val="15"/>
                <w:szCs w:val="15"/>
                <w:color w:val="auto"/>
              </w:rPr>
            </w:pPr>
          </w:p>
        </w:tc>
        <w:tc>
          <w:tcPr>
            <w:tcW w:w="80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color w:val="auto"/>
                <w:w w:val="96"/>
              </w:rPr>
              <w:t>Floating</w:t>
            </w:r>
          </w:p>
        </w:tc>
        <w:tc>
          <w:tcPr>
            <w:tcW w:w="78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5"/>
              </w:rPr>
              <w:t>2.5%</w:t>
            </w:r>
          </w:p>
        </w:tc>
        <w:tc>
          <w:tcPr>
            <w:tcW w:w="100" w:type="dxa"/>
            <w:vAlign w:val="bottom"/>
          </w:tcPr>
          <w:p>
            <w:pPr>
              <w:spacing w:after="0"/>
              <w:rPr>
                <w:sz w:val="15"/>
                <w:szCs w:val="15"/>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6.7%</w:t>
            </w:r>
          </w:p>
        </w:tc>
        <w:tc>
          <w:tcPr>
            <w:tcW w:w="100" w:type="dxa"/>
            <w:vAlign w:val="bottom"/>
          </w:tcPr>
          <w:p>
            <w:pPr>
              <w:spacing w:after="0"/>
              <w:rPr>
                <w:sz w:val="15"/>
                <w:szCs w:val="15"/>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5"/>
              </w:rPr>
              <w:t>1/9/2031</w:t>
            </w:r>
          </w:p>
        </w:tc>
        <w:tc>
          <w:tcPr>
            <w:tcW w:w="100" w:type="dxa"/>
            <w:vAlign w:val="bottom"/>
          </w:tcPr>
          <w:p>
            <w:pPr>
              <w:spacing w:after="0"/>
              <w:rPr>
                <w:sz w:val="15"/>
                <w:szCs w:val="15"/>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75%</w:t>
            </w:r>
          </w:p>
        </w:tc>
        <w:tc>
          <w:tcPr>
            <w:tcW w:w="100" w:type="dxa"/>
            <w:vAlign w:val="bottom"/>
          </w:tcPr>
          <w:p>
            <w:pPr>
              <w:spacing w:after="0"/>
              <w:rPr>
                <w:sz w:val="15"/>
                <w:szCs w:val="15"/>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1"/>
              </w:rPr>
              <w:t>3</w:t>
            </w:r>
          </w:p>
        </w:tc>
      </w:tr>
      <w:tr>
        <w:trPr>
          <w:trHeight w:val="197"/>
        </w:trPr>
        <w:tc>
          <w:tcPr>
            <w:tcW w:w="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Loan 14</w:t>
            </w:r>
          </w:p>
        </w:tc>
        <w:tc>
          <w:tcPr>
            <w:tcW w:w="8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Senior</w:t>
            </w:r>
          </w:p>
        </w:tc>
        <w:tc>
          <w:tcPr>
            <w:tcW w:w="8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5"/>
              </w:rPr>
              <w:t>1/8/2026</w:t>
            </w:r>
          </w:p>
        </w:tc>
        <w:tc>
          <w:tcPr>
            <w:tcW w:w="100" w:type="dxa"/>
            <w:vAlign w:val="bottom"/>
            <w:shd w:val="clear" w:color="auto" w:fill="CCEEFF"/>
          </w:tcPr>
          <w:p>
            <w:pPr>
              <w:spacing w:after="0"/>
              <w:rPr>
                <w:sz w:val="17"/>
                <w:szCs w:val="17"/>
                <w:color w:val="auto"/>
              </w:rPr>
            </w:pPr>
          </w:p>
        </w:tc>
        <w:tc>
          <w:tcPr>
            <w:tcW w:w="14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Tucson, AZ</w:t>
            </w: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40,572</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40,947</w:t>
            </w:r>
          </w:p>
        </w:tc>
        <w:tc>
          <w:tcPr>
            <w:tcW w:w="8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3"/>
                <w:szCs w:val="13"/>
                <w:color w:val="auto"/>
                <w:w w:val="96"/>
              </w:rPr>
              <w:t>Floating</w:t>
            </w:r>
          </w:p>
        </w:tc>
        <w:tc>
          <w:tcPr>
            <w:tcW w:w="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5"/>
              </w:rPr>
              <w:t>2.6%</w:t>
            </w: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6.8%</w:t>
            </w: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5"/>
              </w:rPr>
              <w:t>1/9/2031</w:t>
            </w: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74%</w:t>
            </w: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1"/>
              </w:rPr>
              <w:t>3</w:t>
            </w:r>
          </w:p>
        </w:tc>
      </w:tr>
      <w:tr>
        <w:trPr>
          <w:trHeight w:val="181"/>
        </w:trPr>
        <w:tc>
          <w:tcPr>
            <w:tcW w:w="9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Loan 15</w:t>
            </w:r>
          </w:p>
        </w:tc>
        <w:tc>
          <w:tcPr>
            <w:tcW w:w="88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Senior</w:t>
            </w:r>
          </w:p>
        </w:tc>
        <w:tc>
          <w:tcPr>
            <w:tcW w:w="88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8"/>
              </w:rPr>
              <w:t>3/31/2022</w:t>
            </w:r>
          </w:p>
        </w:tc>
        <w:tc>
          <w:tcPr>
            <w:tcW w:w="100" w:type="dxa"/>
            <w:vAlign w:val="bottom"/>
          </w:tcPr>
          <w:p>
            <w:pPr>
              <w:spacing w:after="0"/>
              <w:rPr>
                <w:sz w:val="15"/>
                <w:szCs w:val="15"/>
                <w:color w:val="auto"/>
              </w:rPr>
            </w:pPr>
          </w:p>
        </w:tc>
        <w:tc>
          <w:tcPr>
            <w:tcW w:w="144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Long Beach, CA</w:t>
            </w:r>
          </w:p>
        </w:tc>
        <w:tc>
          <w:tcPr>
            <w:tcW w:w="12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40,558</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40,507</w:t>
            </w:r>
          </w:p>
        </w:tc>
        <w:tc>
          <w:tcPr>
            <w:tcW w:w="80" w:type="dxa"/>
            <w:vAlign w:val="bottom"/>
          </w:tcPr>
          <w:p>
            <w:pPr>
              <w:spacing w:after="0"/>
              <w:rPr>
                <w:sz w:val="15"/>
                <w:szCs w:val="15"/>
                <w:color w:val="auto"/>
              </w:rPr>
            </w:pPr>
          </w:p>
        </w:tc>
        <w:tc>
          <w:tcPr>
            <w:tcW w:w="80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color w:val="auto"/>
                <w:w w:val="96"/>
              </w:rPr>
              <w:t>Floating</w:t>
            </w:r>
          </w:p>
        </w:tc>
        <w:tc>
          <w:tcPr>
            <w:tcW w:w="78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5"/>
              </w:rPr>
              <w:t>3.4%</w:t>
            </w:r>
          </w:p>
        </w:tc>
        <w:tc>
          <w:tcPr>
            <w:tcW w:w="100" w:type="dxa"/>
            <w:vAlign w:val="bottom"/>
          </w:tcPr>
          <w:p>
            <w:pPr>
              <w:spacing w:after="0"/>
              <w:rPr>
                <w:sz w:val="15"/>
                <w:szCs w:val="15"/>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7.3%</w:t>
            </w:r>
          </w:p>
        </w:tc>
        <w:tc>
          <w:tcPr>
            <w:tcW w:w="100" w:type="dxa"/>
            <w:vAlign w:val="bottom"/>
          </w:tcPr>
          <w:p>
            <w:pPr>
              <w:spacing w:after="0"/>
              <w:rPr>
                <w:sz w:val="15"/>
                <w:szCs w:val="15"/>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5"/>
              </w:rPr>
              <w:t>4/9/2027</w:t>
            </w:r>
          </w:p>
        </w:tc>
        <w:tc>
          <w:tcPr>
            <w:tcW w:w="100" w:type="dxa"/>
            <w:vAlign w:val="bottom"/>
          </w:tcPr>
          <w:p>
            <w:pPr>
              <w:spacing w:after="0"/>
              <w:rPr>
                <w:sz w:val="15"/>
                <w:szCs w:val="15"/>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74%</w:t>
            </w:r>
          </w:p>
        </w:tc>
        <w:tc>
          <w:tcPr>
            <w:tcW w:w="100" w:type="dxa"/>
            <w:vAlign w:val="bottom"/>
          </w:tcPr>
          <w:p>
            <w:pPr>
              <w:spacing w:after="0"/>
              <w:rPr>
                <w:sz w:val="15"/>
                <w:szCs w:val="15"/>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1"/>
              </w:rPr>
              <w:t>3</w:t>
            </w:r>
          </w:p>
        </w:tc>
      </w:tr>
      <w:tr>
        <w:trPr>
          <w:trHeight w:val="197"/>
        </w:trPr>
        <w:tc>
          <w:tcPr>
            <w:tcW w:w="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Loan 16</w:t>
            </w:r>
          </w:p>
        </w:tc>
        <w:tc>
          <w:tcPr>
            <w:tcW w:w="8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Senior</w:t>
            </w:r>
          </w:p>
        </w:tc>
        <w:tc>
          <w:tcPr>
            <w:tcW w:w="8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8"/>
              </w:rPr>
              <w:t>7/15/2021</w:t>
            </w:r>
          </w:p>
        </w:tc>
        <w:tc>
          <w:tcPr>
            <w:tcW w:w="100" w:type="dxa"/>
            <w:vAlign w:val="bottom"/>
            <w:shd w:val="clear" w:color="auto" w:fill="CCEEFF"/>
          </w:tcPr>
          <w:p>
            <w:pPr>
              <w:spacing w:after="0"/>
              <w:rPr>
                <w:sz w:val="17"/>
                <w:szCs w:val="17"/>
                <w:color w:val="auto"/>
              </w:rPr>
            </w:pPr>
          </w:p>
        </w:tc>
        <w:tc>
          <w:tcPr>
            <w:tcW w:w="14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Dallas, TX</w:t>
            </w: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40,338</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40,338</w:t>
            </w:r>
          </w:p>
        </w:tc>
        <w:tc>
          <w:tcPr>
            <w:tcW w:w="8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3"/>
                <w:szCs w:val="13"/>
                <w:color w:val="auto"/>
                <w:w w:val="96"/>
              </w:rPr>
              <w:t>Floating</w:t>
            </w:r>
          </w:p>
        </w:tc>
        <w:tc>
          <w:tcPr>
            <w:tcW w:w="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5"/>
              </w:rPr>
              <w:t>3.2%</w:t>
            </w: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7.1%</w:t>
            </w: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8"/>
              </w:rPr>
              <w:t>10/9/2026</w:t>
            </w: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77%</w:t>
            </w: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1"/>
              </w:rPr>
              <w:t>3</w:t>
            </w:r>
          </w:p>
        </w:tc>
      </w:tr>
      <w:tr>
        <w:trPr>
          <w:trHeight w:val="181"/>
        </w:trPr>
        <w:tc>
          <w:tcPr>
            <w:tcW w:w="9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Loan 17</w:t>
            </w:r>
          </w:p>
        </w:tc>
        <w:tc>
          <w:tcPr>
            <w:tcW w:w="88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Senior</w:t>
            </w:r>
          </w:p>
        </w:tc>
        <w:tc>
          <w:tcPr>
            <w:tcW w:w="88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8"/>
              </w:rPr>
              <w:t>7/15/2021</w:t>
            </w:r>
          </w:p>
        </w:tc>
        <w:tc>
          <w:tcPr>
            <w:tcW w:w="100" w:type="dxa"/>
            <w:vAlign w:val="bottom"/>
          </w:tcPr>
          <w:p>
            <w:pPr>
              <w:spacing w:after="0"/>
              <w:rPr>
                <w:sz w:val="15"/>
                <w:szCs w:val="15"/>
                <w:color w:val="auto"/>
              </w:rPr>
            </w:pPr>
          </w:p>
        </w:tc>
        <w:tc>
          <w:tcPr>
            <w:tcW w:w="144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Jersey City, NJ</w:t>
            </w:r>
          </w:p>
        </w:tc>
        <w:tc>
          <w:tcPr>
            <w:tcW w:w="12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40,108</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40,000</w:t>
            </w:r>
          </w:p>
        </w:tc>
        <w:tc>
          <w:tcPr>
            <w:tcW w:w="80" w:type="dxa"/>
            <w:vAlign w:val="bottom"/>
          </w:tcPr>
          <w:p>
            <w:pPr>
              <w:spacing w:after="0"/>
              <w:rPr>
                <w:sz w:val="15"/>
                <w:szCs w:val="15"/>
                <w:color w:val="auto"/>
              </w:rPr>
            </w:pPr>
          </w:p>
        </w:tc>
        <w:tc>
          <w:tcPr>
            <w:tcW w:w="80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color w:val="auto"/>
                <w:w w:val="96"/>
              </w:rPr>
              <w:t>Floating</w:t>
            </w:r>
          </w:p>
        </w:tc>
        <w:tc>
          <w:tcPr>
            <w:tcW w:w="78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5"/>
              </w:rPr>
              <w:t>3.1%</w:t>
            </w:r>
          </w:p>
        </w:tc>
        <w:tc>
          <w:tcPr>
            <w:tcW w:w="100" w:type="dxa"/>
            <w:vAlign w:val="bottom"/>
          </w:tcPr>
          <w:p>
            <w:pPr>
              <w:spacing w:after="0"/>
              <w:rPr>
                <w:sz w:val="15"/>
                <w:szCs w:val="15"/>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7.0%</w:t>
            </w:r>
          </w:p>
        </w:tc>
        <w:tc>
          <w:tcPr>
            <w:tcW w:w="100" w:type="dxa"/>
            <w:vAlign w:val="bottom"/>
          </w:tcPr>
          <w:p>
            <w:pPr>
              <w:spacing w:after="0"/>
              <w:rPr>
                <w:sz w:val="15"/>
                <w:szCs w:val="15"/>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5"/>
              </w:rPr>
              <w:t>8/9/2027</w:t>
            </w:r>
          </w:p>
        </w:tc>
        <w:tc>
          <w:tcPr>
            <w:tcW w:w="100" w:type="dxa"/>
            <w:vAlign w:val="bottom"/>
          </w:tcPr>
          <w:p>
            <w:pPr>
              <w:spacing w:after="0"/>
              <w:rPr>
                <w:sz w:val="15"/>
                <w:szCs w:val="15"/>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66%</w:t>
            </w:r>
          </w:p>
        </w:tc>
        <w:tc>
          <w:tcPr>
            <w:tcW w:w="100" w:type="dxa"/>
            <w:vAlign w:val="bottom"/>
          </w:tcPr>
          <w:p>
            <w:pPr>
              <w:spacing w:after="0"/>
              <w:rPr>
                <w:sz w:val="15"/>
                <w:szCs w:val="15"/>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1"/>
              </w:rPr>
              <w:t>3</w:t>
            </w:r>
          </w:p>
        </w:tc>
      </w:tr>
      <w:tr>
        <w:trPr>
          <w:trHeight w:val="197"/>
        </w:trPr>
        <w:tc>
          <w:tcPr>
            <w:tcW w:w="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Loan 18</w:t>
            </w:r>
          </w:p>
        </w:tc>
        <w:tc>
          <w:tcPr>
            <w:tcW w:w="8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Senior</w:t>
            </w:r>
          </w:p>
        </w:tc>
        <w:tc>
          <w:tcPr>
            <w:tcW w:w="8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8"/>
              </w:rPr>
              <w:t>7/13/2026</w:t>
            </w:r>
          </w:p>
        </w:tc>
        <w:tc>
          <w:tcPr>
            <w:tcW w:w="100" w:type="dxa"/>
            <w:vAlign w:val="bottom"/>
            <w:shd w:val="clear" w:color="auto" w:fill="CCEEFF"/>
          </w:tcPr>
          <w:p>
            <w:pPr>
              <w:spacing w:after="0"/>
              <w:rPr>
                <w:sz w:val="17"/>
                <w:szCs w:val="17"/>
                <w:color w:val="auto"/>
              </w:rPr>
            </w:pPr>
          </w:p>
        </w:tc>
        <w:tc>
          <w:tcPr>
            <w:tcW w:w="14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Buena Park, CA</w:t>
            </w: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39,632</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40,103</w:t>
            </w:r>
          </w:p>
        </w:tc>
        <w:tc>
          <w:tcPr>
            <w:tcW w:w="8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3"/>
                <w:szCs w:val="13"/>
                <w:color w:val="auto"/>
                <w:w w:val="96"/>
              </w:rPr>
              <w:t>Floating</w:t>
            </w:r>
          </w:p>
        </w:tc>
        <w:tc>
          <w:tcPr>
            <w:tcW w:w="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5"/>
              </w:rPr>
              <w:t>2.4%</w:t>
            </w: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5.5%</w:t>
            </w: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5"/>
              </w:rPr>
              <w:t>8/9/2031</w:t>
            </w: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75%</w:t>
            </w: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1"/>
              </w:rPr>
              <w:t>3</w:t>
            </w:r>
          </w:p>
        </w:tc>
      </w:tr>
      <w:tr>
        <w:trPr>
          <w:trHeight w:val="181"/>
        </w:trPr>
        <w:tc>
          <w:tcPr>
            <w:tcW w:w="9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Loan 19</w:t>
            </w:r>
          </w:p>
        </w:tc>
        <w:tc>
          <w:tcPr>
            <w:tcW w:w="88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Senior</w:t>
            </w:r>
          </w:p>
        </w:tc>
        <w:tc>
          <w:tcPr>
            <w:tcW w:w="88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8"/>
              </w:rPr>
              <w:t>7/12/2022</w:t>
            </w:r>
          </w:p>
        </w:tc>
        <w:tc>
          <w:tcPr>
            <w:tcW w:w="100" w:type="dxa"/>
            <w:vAlign w:val="bottom"/>
          </w:tcPr>
          <w:p>
            <w:pPr>
              <w:spacing w:after="0"/>
              <w:rPr>
                <w:sz w:val="15"/>
                <w:szCs w:val="15"/>
                <w:color w:val="auto"/>
              </w:rPr>
            </w:pPr>
          </w:p>
        </w:tc>
        <w:tc>
          <w:tcPr>
            <w:tcW w:w="144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Irving, TX</w:t>
            </w:r>
          </w:p>
        </w:tc>
        <w:tc>
          <w:tcPr>
            <w:tcW w:w="12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38,475</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38,379</w:t>
            </w:r>
          </w:p>
        </w:tc>
        <w:tc>
          <w:tcPr>
            <w:tcW w:w="80" w:type="dxa"/>
            <w:vAlign w:val="bottom"/>
          </w:tcPr>
          <w:p>
            <w:pPr>
              <w:spacing w:after="0"/>
              <w:rPr>
                <w:sz w:val="15"/>
                <w:szCs w:val="15"/>
                <w:color w:val="auto"/>
              </w:rPr>
            </w:pPr>
          </w:p>
        </w:tc>
        <w:tc>
          <w:tcPr>
            <w:tcW w:w="80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color w:val="auto"/>
                <w:w w:val="96"/>
              </w:rPr>
              <w:t>Floating</w:t>
            </w:r>
          </w:p>
        </w:tc>
        <w:tc>
          <w:tcPr>
            <w:tcW w:w="78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5"/>
              </w:rPr>
              <w:t>3.6%</w:t>
            </w:r>
          </w:p>
        </w:tc>
        <w:tc>
          <w:tcPr>
            <w:tcW w:w="100" w:type="dxa"/>
            <w:vAlign w:val="bottom"/>
          </w:tcPr>
          <w:p>
            <w:pPr>
              <w:spacing w:after="0"/>
              <w:rPr>
                <w:sz w:val="15"/>
                <w:szCs w:val="15"/>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7.5%</w:t>
            </w:r>
          </w:p>
        </w:tc>
        <w:tc>
          <w:tcPr>
            <w:tcW w:w="100" w:type="dxa"/>
            <w:vAlign w:val="bottom"/>
          </w:tcPr>
          <w:p>
            <w:pPr>
              <w:spacing w:after="0"/>
              <w:rPr>
                <w:sz w:val="15"/>
                <w:szCs w:val="15"/>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5"/>
              </w:rPr>
              <w:t>8/9/2027</w:t>
            </w:r>
          </w:p>
        </w:tc>
        <w:tc>
          <w:tcPr>
            <w:tcW w:w="100" w:type="dxa"/>
            <w:vAlign w:val="bottom"/>
          </w:tcPr>
          <w:p>
            <w:pPr>
              <w:spacing w:after="0"/>
              <w:rPr>
                <w:sz w:val="15"/>
                <w:szCs w:val="15"/>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73%</w:t>
            </w:r>
          </w:p>
        </w:tc>
        <w:tc>
          <w:tcPr>
            <w:tcW w:w="100" w:type="dxa"/>
            <w:vAlign w:val="bottom"/>
          </w:tcPr>
          <w:p>
            <w:pPr>
              <w:spacing w:after="0"/>
              <w:rPr>
                <w:sz w:val="15"/>
                <w:szCs w:val="15"/>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1"/>
              </w:rPr>
              <w:t>3</w:t>
            </w:r>
          </w:p>
        </w:tc>
      </w:tr>
      <w:tr>
        <w:trPr>
          <w:trHeight w:val="197"/>
        </w:trPr>
        <w:tc>
          <w:tcPr>
            <w:tcW w:w="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Loan 20</w:t>
            </w:r>
          </w:p>
        </w:tc>
        <w:tc>
          <w:tcPr>
            <w:tcW w:w="8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Senior</w:t>
            </w:r>
          </w:p>
        </w:tc>
        <w:tc>
          <w:tcPr>
            <w:tcW w:w="8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4"/>
              </w:rPr>
              <w:t>12/21/2020</w:t>
            </w:r>
          </w:p>
        </w:tc>
        <w:tc>
          <w:tcPr>
            <w:tcW w:w="100" w:type="dxa"/>
            <w:vAlign w:val="bottom"/>
            <w:shd w:val="clear" w:color="auto" w:fill="CCEEFF"/>
          </w:tcPr>
          <w:p>
            <w:pPr>
              <w:spacing w:after="0"/>
              <w:rPr>
                <w:sz w:val="17"/>
                <w:szCs w:val="17"/>
                <w:color w:val="auto"/>
              </w:rPr>
            </w:pPr>
          </w:p>
        </w:tc>
        <w:tc>
          <w:tcPr>
            <w:tcW w:w="14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Austin, TX</w:t>
            </w:r>
          </w:p>
        </w:tc>
        <w:tc>
          <w:tcPr>
            <w:tcW w:w="12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37,000</w:t>
            </w:r>
          </w:p>
        </w:tc>
        <w:tc>
          <w:tcPr>
            <w:tcW w:w="10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37,000</w:t>
            </w:r>
          </w:p>
        </w:tc>
        <w:tc>
          <w:tcPr>
            <w:tcW w:w="8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3"/>
                <w:szCs w:val="13"/>
                <w:color w:val="auto"/>
                <w:w w:val="96"/>
              </w:rPr>
              <w:t>Floating</w:t>
            </w:r>
          </w:p>
        </w:tc>
        <w:tc>
          <w:tcPr>
            <w:tcW w:w="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5"/>
              </w:rPr>
              <w:t>3.1%</w:t>
            </w: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7.0%</w:t>
            </w: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5"/>
              </w:rPr>
              <w:t>1/9/2029</w:t>
            </w: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54%</w:t>
            </w: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1"/>
              </w:rPr>
              <w:t>3</w:t>
            </w:r>
          </w:p>
        </w:tc>
      </w:tr>
      <w:tr>
        <w:trPr>
          <w:trHeight w:val="188"/>
        </w:trPr>
        <w:tc>
          <w:tcPr>
            <w:tcW w:w="178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Subtotal top 20 multifamily</w:t>
            </w: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915,757</w:t>
            </w:r>
          </w:p>
        </w:tc>
        <w:tc>
          <w:tcPr>
            <w:tcW w:w="10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917,602</w:t>
            </w:r>
          </w:p>
        </w:tc>
        <w:tc>
          <w:tcPr>
            <w:tcW w:w="80" w:type="dxa"/>
            <w:vAlign w:val="bottom"/>
          </w:tcPr>
          <w:p>
            <w:pPr>
              <w:spacing w:after="0"/>
              <w:rPr>
                <w:sz w:val="16"/>
                <w:szCs w:val="16"/>
                <w:color w:val="auto"/>
              </w:rPr>
            </w:pPr>
          </w:p>
        </w:tc>
        <w:tc>
          <w:tcPr>
            <w:tcW w:w="1680" w:type="dxa"/>
            <w:vAlign w:val="bottom"/>
            <w:gridSpan w:val="4"/>
          </w:tcPr>
          <w:p>
            <w:pPr>
              <w:ind w:left="20"/>
              <w:spacing w:after="0"/>
              <w:rPr>
                <w:sz w:val="20"/>
                <w:szCs w:val="20"/>
                <w:color w:val="auto"/>
              </w:rPr>
            </w:pPr>
            <w:r>
              <w:rPr>
                <w:rFonts w:ascii="Times New Roman" w:cs="Times New Roman" w:eastAsia="Times New Roman" w:hAnsi="Times New Roman"/>
                <w:sz w:val="13"/>
                <w:szCs w:val="13"/>
                <w:color w:val="auto"/>
              </w:rPr>
              <w:t>30% of total loans</w:t>
            </w: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r>
      <w:tr>
        <w:trPr>
          <w:trHeight w:val="494"/>
        </w:trPr>
        <w:tc>
          <w:tcPr>
            <w:tcW w:w="900" w:type="dxa"/>
            <w:vAlign w:val="bottom"/>
            <w:tcBorders>
              <w:bottom w:val="single" w:sz="8" w:color="auto"/>
            </w:tcBorders>
            <w:shd w:val="clear" w:color="auto" w:fill="CCEEFF"/>
          </w:tcPr>
          <w:p>
            <w:pPr>
              <w:spacing w:after="0"/>
              <w:rPr>
                <w:sz w:val="24"/>
                <w:szCs w:val="24"/>
                <w:color w:val="auto"/>
              </w:rPr>
            </w:pPr>
          </w:p>
        </w:tc>
        <w:tc>
          <w:tcPr>
            <w:tcW w:w="780" w:type="dxa"/>
            <w:vAlign w:val="bottom"/>
            <w:tcBorders>
              <w:bottom w:val="single" w:sz="8" w:color="auto"/>
            </w:tcBorders>
            <w:shd w:val="clear" w:color="auto" w:fill="CCEEFF"/>
          </w:tcPr>
          <w:p>
            <w:pPr>
              <w:spacing w:after="0"/>
              <w:rPr>
                <w:sz w:val="24"/>
                <w:szCs w:val="24"/>
                <w:color w:val="auto"/>
              </w:rPr>
            </w:pPr>
          </w:p>
        </w:tc>
        <w:tc>
          <w:tcPr>
            <w:tcW w:w="100" w:type="dxa"/>
            <w:vAlign w:val="bottom"/>
            <w:tcBorders>
              <w:bottom w:val="single" w:sz="8" w:color="auto"/>
            </w:tcBorders>
            <w:shd w:val="clear" w:color="auto" w:fill="CCEEFF"/>
          </w:tcPr>
          <w:p>
            <w:pPr>
              <w:spacing w:after="0"/>
              <w:rPr>
                <w:sz w:val="24"/>
                <w:szCs w:val="24"/>
                <w:color w:val="auto"/>
              </w:rPr>
            </w:pPr>
          </w:p>
        </w:tc>
        <w:tc>
          <w:tcPr>
            <w:tcW w:w="880" w:type="dxa"/>
            <w:vAlign w:val="bottom"/>
            <w:tcBorders>
              <w:bottom w:val="single" w:sz="8" w:color="auto"/>
            </w:tcBorders>
            <w:shd w:val="clear" w:color="auto" w:fill="CCEEFF"/>
          </w:tcPr>
          <w:p>
            <w:pPr>
              <w:spacing w:after="0"/>
              <w:rPr>
                <w:sz w:val="24"/>
                <w:szCs w:val="24"/>
                <w:color w:val="auto"/>
              </w:rPr>
            </w:pPr>
          </w:p>
        </w:tc>
        <w:tc>
          <w:tcPr>
            <w:tcW w:w="100" w:type="dxa"/>
            <w:vAlign w:val="bottom"/>
            <w:tcBorders>
              <w:bottom w:val="single" w:sz="8" w:color="auto"/>
            </w:tcBorders>
            <w:shd w:val="clear" w:color="auto" w:fill="CCEEFF"/>
          </w:tcPr>
          <w:p>
            <w:pPr>
              <w:spacing w:after="0"/>
              <w:rPr>
                <w:sz w:val="24"/>
                <w:szCs w:val="24"/>
                <w:color w:val="auto"/>
              </w:rPr>
            </w:pPr>
          </w:p>
        </w:tc>
        <w:tc>
          <w:tcPr>
            <w:tcW w:w="1360" w:type="dxa"/>
            <w:vAlign w:val="bottom"/>
            <w:tcBorders>
              <w:bottom w:val="single" w:sz="8" w:color="auto"/>
            </w:tcBorders>
            <w:shd w:val="clear" w:color="auto" w:fill="CCEEFF"/>
          </w:tcPr>
          <w:p>
            <w:pPr>
              <w:spacing w:after="0"/>
              <w:rPr>
                <w:sz w:val="24"/>
                <w:szCs w:val="24"/>
                <w:color w:val="auto"/>
              </w:rPr>
            </w:pPr>
          </w:p>
        </w:tc>
        <w:tc>
          <w:tcPr>
            <w:tcW w:w="80" w:type="dxa"/>
            <w:vAlign w:val="bottom"/>
            <w:tcBorders>
              <w:bottom w:val="single" w:sz="8" w:color="auto"/>
            </w:tcBorders>
            <w:shd w:val="clear" w:color="auto" w:fill="CCEEFF"/>
          </w:tcPr>
          <w:p>
            <w:pPr>
              <w:spacing w:after="0"/>
              <w:rPr>
                <w:sz w:val="24"/>
                <w:szCs w:val="24"/>
                <w:color w:val="auto"/>
              </w:rPr>
            </w:pPr>
          </w:p>
        </w:tc>
        <w:tc>
          <w:tcPr>
            <w:tcW w:w="120" w:type="dxa"/>
            <w:vAlign w:val="bottom"/>
            <w:tcBorders>
              <w:bottom w:val="single" w:sz="8" w:color="auto"/>
            </w:tcBorders>
            <w:shd w:val="clear" w:color="auto" w:fill="CCEEFF"/>
          </w:tcPr>
          <w:p>
            <w:pPr>
              <w:spacing w:after="0"/>
              <w:rPr>
                <w:sz w:val="24"/>
                <w:szCs w:val="24"/>
                <w:color w:val="auto"/>
              </w:rPr>
            </w:pPr>
          </w:p>
        </w:tc>
        <w:tc>
          <w:tcPr>
            <w:tcW w:w="680" w:type="dxa"/>
            <w:vAlign w:val="bottom"/>
            <w:tcBorders>
              <w:bottom w:val="single" w:sz="8" w:color="auto"/>
            </w:tcBorders>
            <w:shd w:val="clear" w:color="auto" w:fill="CCEEFF"/>
          </w:tcPr>
          <w:p>
            <w:pPr>
              <w:spacing w:after="0"/>
              <w:rPr>
                <w:sz w:val="24"/>
                <w:szCs w:val="24"/>
                <w:color w:val="auto"/>
              </w:rPr>
            </w:pPr>
          </w:p>
        </w:tc>
        <w:tc>
          <w:tcPr>
            <w:tcW w:w="100" w:type="dxa"/>
            <w:vAlign w:val="bottom"/>
            <w:tcBorders>
              <w:bottom w:val="single" w:sz="8" w:color="auto"/>
            </w:tcBorders>
            <w:shd w:val="clear" w:color="auto" w:fill="CCEEFF"/>
          </w:tcPr>
          <w:p>
            <w:pPr>
              <w:spacing w:after="0"/>
              <w:rPr>
                <w:sz w:val="24"/>
                <w:szCs w:val="24"/>
                <w:color w:val="auto"/>
              </w:rPr>
            </w:pPr>
          </w:p>
        </w:tc>
        <w:tc>
          <w:tcPr>
            <w:tcW w:w="100" w:type="dxa"/>
            <w:vAlign w:val="bottom"/>
            <w:tcBorders>
              <w:bottom w:val="single" w:sz="8" w:color="auto"/>
            </w:tcBorders>
            <w:shd w:val="clear" w:color="auto" w:fill="CCEEFF"/>
          </w:tcPr>
          <w:p>
            <w:pPr>
              <w:spacing w:after="0"/>
              <w:rPr>
                <w:sz w:val="24"/>
                <w:szCs w:val="24"/>
                <w:color w:val="auto"/>
              </w:rPr>
            </w:pPr>
          </w:p>
        </w:tc>
        <w:tc>
          <w:tcPr>
            <w:tcW w:w="700" w:type="dxa"/>
            <w:vAlign w:val="bottom"/>
            <w:tcBorders>
              <w:bottom w:val="single" w:sz="8" w:color="auto"/>
            </w:tcBorders>
            <w:shd w:val="clear" w:color="auto" w:fill="CCEEFF"/>
          </w:tcPr>
          <w:p>
            <w:pPr>
              <w:spacing w:after="0"/>
              <w:rPr>
                <w:sz w:val="24"/>
                <w:szCs w:val="24"/>
                <w:color w:val="auto"/>
              </w:rPr>
            </w:pPr>
          </w:p>
        </w:tc>
        <w:tc>
          <w:tcPr>
            <w:tcW w:w="80" w:type="dxa"/>
            <w:vAlign w:val="bottom"/>
            <w:tcBorders>
              <w:bottom w:val="single" w:sz="8" w:color="auto"/>
            </w:tcBorders>
            <w:shd w:val="clear" w:color="auto" w:fill="CCEEFF"/>
          </w:tcPr>
          <w:p>
            <w:pPr>
              <w:spacing w:after="0"/>
              <w:rPr>
                <w:sz w:val="24"/>
                <w:szCs w:val="24"/>
                <w:color w:val="auto"/>
              </w:rPr>
            </w:pPr>
          </w:p>
        </w:tc>
        <w:tc>
          <w:tcPr>
            <w:tcW w:w="720" w:type="dxa"/>
            <w:vAlign w:val="bottom"/>
            <w:tcBorders>
              <w:bottom w:val="single" w:sz="8" w:color="auto"/>
            </w:tcBorders>
            <w:shd w:val="clear" w:color="auto" w:fill="CCEEFF"/>
          </w:tcPr>
          <w:p>
            <w:pPr>
              <w:spacing w:after="0"/>
              <w:rPr>
                <w:sz w:val="24"/>
                <w:szCs w:val="24"/>
                <w:color w:val="auto"/>
              </w:rPr>
            </w:pPr>
          </w:p>
        </w:tc>
        <w:tc>
          <w:tcPr>
            <w:tcW w:w="80" w:type="dxa"/>
            <w:vAlign w:val="bottom"/>
            <w:tcBorders>
              <w:bottom w:val="single" w:sz="8" w:color="auto"/>
            </w:tcBorders>
            <w:shd w:val="clear" w:color="auto" w:fill="CCEEFF"/>
          </w:tcPr>
          <w:p>
            <w:pPr>
              <w:spacing w:after="0"/>
              <w:rPr>
                <w:sz w:val="24"/>
                <w:szCs w:val="24"/>
                <w:color w:val="auto"/>
              </w:rPr>
            </w:pPr>
          </w:p>
        </w:tc>
        <w:tc>
          <w:tcPr>
            <w:tcW w:w="780" w:type="dxa"/>
            <w:vAlign w:val="bottom"/>
            <w:tcBorders>
              <w:bottom w:val="single" w:sz="8" w:color="auto"/>
            </w:tcBorders>
            <w:shd w:val="clear" w:color="auto" w:fill="CCEEFF"/>
          </w:tcPr>
          <w:p>
            <w:pPr>
              <w:spacing w:after="0"/>
              <w:rPr>
                <w:sz w:val="24"/>
                <w:szCs w:val="24"/>
                <w:color w:val="auto"/>
              </w:rPr>
            </w:pPr>
          </w:p>
        </w:tc>
        <w:tc>
          <w:tcPr>
            <w:tcW w:w="100" w:type="dxa"/>
            <w:vAlign w:val="bottom"/>
            <w:tcBorders>
              <w:bottom w:val="single" w:sz="8" w:color="auto"/>
            </w:tcBorders>
            <w:shd w:val="clear" w:color="auto" w:fill="CCEEFF"/>
          </w:tcPr>
          <w:p>
            <w:pPr>
              <w:spacing w:after="0"/>
              <w:rPr>
                <w:sz w:val="24"/>
                <w:szCs w:val="24"/>
                <w:color w:val="auto"/>
              </w:rPr>
            </w:pPr>
          </w:p>
        </w:tc>
        <w:tc>
          <w:tcPr>
            <w:tcW w:w="800" w:type="dxa"/>
            <w:vAlign w:val="bottom"/>
            <w:tcBorders>
              <w:bottom w:val="single" w:sz="8" w:color="auto"/>
            </w:tcBorders>
            <w:shd w:val="clear" w:color="auto" w:fill="CCEEFF"/>
          </w:tcPr>
          <w:p>
            <w:pPr>
              <w:spacing w:after="0"/>
              <w:rPr>
                <w:sz w:val="24"/>
                <w:szCs w:val="24"/>
                <w:color w:val="auto"/>
              </w:rPr>
            </w:pPr>
          </w:p>
        </w:tc>
        <w:tc>
          <w:tcPr>
            <w:tcW w:w="100" w:type="dxa"/>
            <w:vAlign w:val="bottom"/>
            <w:tcBorders>
              <w:bottom w:val="single" w:sz="8" w:color="auto"/>
            </w:tcBorders>
            <w:shd w:val="clear" w:color="auto" w:fill="CCEEFF"/>
          </w:tcPr>
          <w:p>
            <w:pPr>
              <w:spacing w:after="0"/>
              <w:rPr>
                <w:sz w:val="24"/>
                <w:szCs w:val="24"/>
                <w:color w:val="auto"/>
              </w:rPr>
            </w:pPr>
          </w:p>
        </w:tc>
        <w:tc>
          <w:tcPr>
            <w:tcW w:w="800" w:type="dxa"/>
            <w:vAlign w:val="bottom"/>
            <w:tcBorders>
              <w:bottom w:val="single" w:sz="8" w:color="auto"/>
            </w:tcBorders>
            <w:shd w:val="clear" w:color="auto" w:fill="CCEEFF"/>
          </w:tcPr>
          <w:p>
            <w:pPr>
              <w:spacing w:after="0"/>
              <w:rPr>
                <w:sz w:val="24"/>
                <w:szCs w:val="24"/>
                <w:color w:val="auto"/>
              </w:rPr>
            </w:pPr>
          </w:p>
        </w:tc>
        <w:tc>
          <w:tcPr>
            <w:tcW w:w="100" w:type="dxa"/>
            <w:vAlign w:val="bottom"/>
            <w:tcBorders>
              <w:bottom w:val="single" w:sz="8" w:color="auto"/>
            </w:tcBorders>
            <w:shd w:val="clear" w:color="auto" w:fill="CCEEFF"/>
          </w:tcPr>
          <w:p>
            <w:pPr>
              <w:spacing w:after="0"/>
              <w:rPr>
                <w:sz w:val="24"/>
                <w:szCs w:val="24"/>
                <w:color w:val="auto"/>
              </w:rPr>
            </w:pPr>
          </w:p>
        </w:tc>
        <w:tc>
          <w:tcPr>
            <w:tcW w:w="840" w:type="dxa"/>
            <w:vAlign w:val="bottom"/>
            <w:tcBorders>
              <w:bottom w:val="single" w:sz="8" w:color="auto"/>
            </w:tcBorders>
            <w:shd w:val="clear" w:color="auto" w:fill="CCEEFF"/>
          </w:tcPr>
          <w:p>
            <w:pPr>
              <w:spacing w:after="0"/>
              <w:rPr>
                <w:sz w:val="24"/>
                <w:szCs w:val="24"/>
                <w:color w:val="auto"/>
              </w:rPr>
            </w:pPr>
          </w:p>
        </w:tc>
        <w:tc>
          <w:tcPr>
            <w:tcW w:w="100" w:type="dxa"/>
            <w:vAlign w:val="bottom"/>
            <w:tcBorders>
              <w:bottom w:val="single" w:sz="8" w:color="auto"/>
            </w:tcBorders>
            <w:shd w:val="clear" w:color="auto" w:fill="CCEEFF"/>
          </w:tcPr>
          <w:p>
            <w:pPr>
              <w:spacing w:after="0"/>
              <w:rPr>
                <w:sz w:val="24"/>
                <w:szCs w:val="24"/>
                <w:color w:val="auto"/>
              </w:rPr>
            </w:pPr>
          </w:p>
        </w:tc>
        <w:tc>
          <w:tcPr>
            <w:tcW w:w="840" w:type="dxa"/>
            <w:vAlign w:val="bottom"/>
            <w:tcBorders>
              <w:bottom w:val="single" w:sz="8" w:color="auto"/>
            </w:tcBorders>
            <w:shd w:val="clear" w:color="auto" w:fill="CCEEFF"/>
          </w:tcPr>
          <w:p>
            <w:pPr>
              <w:spacing w:after="0"/>
              <w:rPr>
                <w:sz w:val="24"/>
                <w:szCs w:val="2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9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w w:val="98"/>
              </w:rPr>
              <w:t>Origination</w:t>
            </w:r>
          </w:p>
        </w:tc>
        <w:tc>
          <w:tcPr>
            <w:tcW w:w="1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7"/>
              </w:rPr>
              <w:t>Carrying</w:t>
            </w:r>
          </w:p>
        </w:tc>
        <w:tc>
          <w:tcPr>
            <w:tcW w:w="120" w:type="dxa"/>
            <w:vAlign w:val="bottom"/>
          </w:tcPr>
          <w:p>
            <w:pPr>
              <w:spacing w:after="0"/>
              <w:rPr>
                <w:sz w:val="12"/>
                <w:szCs w:val="12"/>
                <w:color w:val="auto"/>
              </w:rPr>
            </w:pPr>
          </w:p>
        </w:tc>
        <w:tc>
          <w:tcPr>
            <w:tcW w:w="76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7"/>
              </w:rPr>
              <w:t>Principal</w:t>
            </w:r>
          </w:p>
        </w:tc>
        <w:tc>
          <w:tcPr>
            <w:tcW w:w="800" w:type="dxa"/>
            <w:vAlign w:val="bottom"/>
            <w:gridSpan w:val="2"/>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w w:val="99"/>
              </w:rPr>
              <w:t>Coupon</w:t>
            </w:r>
          </w:p>
        </w:tc>
        <w:tc>
          <w:tcPr>
            <w:tcW w:w="880" w:type="dxa"/>
            <w:vAlign w:val="bottom"/>
            <w:gridSpan w:val="2"/>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w w:val="99"/>
              </w:rPr>
              <w:t>Cash</w:t>
            </w:r>
          </w:p>
        </w:tc>
        <w:tc>
          <w:tcPr>
            <w:tcW w:w="90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w w:val="96"/>
              </w:rPr>
              <w:t>Unlevered all-</w:t>
            </w:r>
          </w:p>
        </w:tc>
        <w:tc>
          <w:tcPr>
            <w:tcW w:w="90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w w:val="98"/>
              </w:rPr>
              <w:t>Extended</w:t>
            </w:r>
          </w:p>
        </w:tc>
        <w:tc>
          <w:tcPr>
            <w:tcW w:w="94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w w:val="99"/>
              </w:rPr>
              <w:t>Loan-to-</w:t>
            </w:r>
          </w:p>
        </w:tc>
        <w:tc>
          <w:tcPr>
            <w:tcW w:w="84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Q3 Risk</w:t>
            </w:r>
          </w:p>
        </w:tc>
      </w:tr>
      <w:tr>
        <w:trPr>
          <w:trHeight w:val="189"/>
        </w:trPr>
        <w:tc>
          <w:tcPr>
            <w:tcW w:w="900" w:type="dxa"/>
            <w:vAlign w:val="bottom"/>
          </w:tcPr>
          <w:p>
            <w:pPr>
              <w:spacing w:after="0"/>
              <w:rPr>
                <w:sz w:val="16"/>
                <w:szCs w:val="16"/>
                <w:color w:val="auto"/>
              </w:rPr>
            </w:pPr>
          </w:p>
        </w:tc>
        <w:tc>
          <w:tcPr>
            <w:tcW w:w="880" w:type="dxa"/>
            <w:vAlign w:val="bottom"/>
            <w:gridSpan w:val="2"/>
          </w:tcPr>
          <w:p>
            <w:pPr>
              <w:ind w:left="100"/>
              <w:spacing w:after="0"/>
              <w:rPr>
                <w:sz w:val="20"/>
                <w:szCs w:val="20"/>
                <w:color w:val="auto"/>
              </w:rPr>
            </w:pPr>
            <w:r>
              <w:rPr>
                <w:rFonts w:ascii="Times New Roman" w:cs="Times New Roman" w:eastAsia="Times New Roman" w:hAnsi="Times New Roman"/>
                <w:sz w:val="13"/>
                <w:szCs w:val="13"/>
                <w:b w:val="1"/>
                <w:bCs w:val="1"/>
                <w:color w:val="auto"/>
              </w:rPr>
              <w:t>Loan Type</w:t>
            </w:r>
          </w:p>
        </w:tc>
        <w:tc>
          <w:tcPr>
            <w:tcW w:w="98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w w:val="92"/>
              </w:rPr>
              <w:t>Date</w:t>
            </w:r>
          </w:p>
        </w:tc>
        <w:tc>
          <w:tcPr>
            <w:tcW w:w="1460" w:type="dxa"/>
            <w:vAlign w:val="bottom"/>
            <w:gridSpan w:val="2"/>
          </w:tcPr>
          <w:p>
            <w:pPr>
              <w:ind w:left="400"/>
              <w:spacing w:after="0"/>
              <w:rPr>
                <w:sz w:val="20"/>
                <w:szCs w:val="20"/>
                <w:color w:val="auto"/>
              </w:rPr>
            </w:pPr>
            <w:r>
              <w:rPr>
                <w:rFonts w:ascii="Times New Roman" w:cs="Times New Roman" w:eastAsia="Times New Roman" w:hAnsi="Times New Roman"/>
                <w:sz w:val="13"/>
                <w:szCs w:val="13"/>
                <w:b w:val="1"/>
                <w:bCs w:val="1"/>
                <w:color w:val="auto"/>
              </w:rPr>
              <w:t>City, State</w:t>
            </w:r>
          </w:p>
        </w:tc>
        <w:tc>
          <w:tcPr>
            <w:tcW w:w="120" w:type="dxa"/>
            <w:vAlign w:val="bottom"/>
          </w:tcPr>
          <w:p>
            <w:pPr>
              <w:spacing w:after="0"/>
              <w:rPr>
                <w:sz w:val="16"/>
                <w:szCs w:val="16"/>
                <w:color w:val="auto"/>
              </w:rPr>
            </w:pPr>
          </w:p>
        </w:tc>
        <w:tc>
          <w:tcPr>
            <w:tcW w:w="76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0"/>
              </w:rPr>
              <w:t>value</w:t>
            </w:r>
            <w:r>
              <w:rPr>
                <w:rFonts w:ascii="Times New Roman" w:cs="Times New Roman" w:eastAsia="Times New Roman" w:hAnsi="Times New Roman"/>
                <w:sz w:val="16"/>
                <w:szCs w:val="16"/>
                <w:b w:val="1"/>
                <w:bCs w:val="1"/>
                <w:color w:val="auto"/>
                <w:w w:val="90"/>
                <w:vertAlign w:val="superscript"/>
              </w:rPr>
              <w:t>(1)</w:t>
            </w:r>
          </w:p>
        </w:tc>
        <w:tc>
          <w:tcPr>
            <w:tcW w:w="120" w:type="dxa"/>
            <w:vAlign w:val="bottom"/>
          </w:tcPr>
          <w:p>
            <w:pPr>
              <w:spacing w:after="0"/>
              <w:rPr>
                <w:sz w:val="16"/>
                <w:szCs w:val="16"/>
                <w:color w:val="auto"/>
              </w:rPr>
            </w:pPr>
          </w:p>
        </w:tc>
        <w:tc>
          <w:tcPr>
            <w:tcW w:w="76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8"/>
              </w:rPr>
              <w:t>balance</w:t>
            </w:r>
          </w:p>
        </w:tc>
        <w:tc>
          <w:tcPr>
            <w:tcW w:w="800" w:type="dxa"/>
            <w:vAlign w:val="bottom"/>
            <w:gridSpan w:val="2"/>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rPr>
              <w:t>type</w:t>
            </w:r>
          </w:p>
        </w:tc>
        <w:tc>
          <w:tcPr>
            <w:tcW w:w="880" w:type="dxa"/>
            <w:vAlign w:val="bottom"/>
            <w:gridSpan w:val="2"/>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w w:val="91"/>
              </w:rPr>
              <w:t>Coupon</w:t>
            </w:r>
            <w:r>
              <w:rPr>
                <w:rFonts w:ascii="Times New Roman" w:cs="Times New Roman" w:eastAsia="Times New Roman" w:hAnsi="Times New Roman"/>
                <w:sz w:val="16"/>
                <w:szCs w:val="16"/>
                <w:b w:val="1"/>
                <w:bCs w:val="1"/>
                <w:color w:val="auto"/>
                <w:w w:val="91"/>
                <w:vertAlign w:val="superscript"/>
              </w:rPr>
              <w:t>(2)</w:t>
            </w:r>
          </w:p>
        </w:tc>
        <w:tc>
          <w:tcPr>
            <w:tcW w:w="90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w w:val="90"/>
              </w:rPr>
              <w:t>in yield</w:t>
            </w:r>
            <w:r>
              <w:rPr>
                <w:rFonts w:ascii="Times New Roman" w:cs="Times New Roman" w:eastAsia="Times New Roman" w:hAnsi="Times New Roman"/>
                <w:sz w:val="16"/>
                <w:szCs w:val="16"/>
                <w:b w:val="1"/>
                <w:bCs w:val="1"/>
                <w:color w:val="auto"/>
                <w:w w:val="90"/>
                <w:vertAlign w:val="superscript"/>
              </w:rPr>
              <w:t>(3)</w:t>
            </w:r>
          </w:p>
        </w:tc>
        <w:tc>
          <w:tcPr>
            <w:tcW w:w="900" w:type="dxa"/>
            <w:vAlign w:val="bottom"/>
            <w:gridSpan w:val="2"/>
          </w:tcPr>
          <w:p>
            <w:pPr>
              <w:jc w:val="center"/>
              <w:ind w:right="120"/>
              <w:spacing w:after="0"/>
              <w:rPr>
                <w:sz w:val="20"/>
                <w:szCs w:val="20"/>
                <w:color w:val="auto"/>
              </w:rPr>
            </w:pPr>
            <w:r>
              <w:rPr>
                <w:rFonts w:ascii="Times New Roman" w:cs="Times New Roman" w:eastAsia="Times New Roman" w:hAnsi="Times New Roman"/>
                <w:sz w:val="13"/>
                <w:szCs w:val="13"/>
                <w:b w:val="1"/>
                <w:bCs w:val="1"/>
                <w:color w:val="auto"/>
                <w:w w:val="97"/>
              </w:rPr>
              <w:t>maturity date</w:t>
            </w:r>
          </w:p>
        </w:tc>
        <w:tc>
          <w:tcPr>
            <w:tcW w:w="940" w:type="dxa"/>
            <w:vAlign w:val="bottom"/>
            <w:gridSpan w:val="2"/>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w w:val="90"/>
              </w:rPr>
              <w:t>value</w:t>
            </w:r>
            <w:r>
              <w:rPr>
                <w:rFonts w:ascii="Times New Roman" w:cs="Times New Roman" w:eastAsia="Times New Roman" w:hAnsi="Times New Roman"/>
                <w:sz w:val="16"/>
                <w:szCs w:val="16"/>
                <w:b w:val="1"/>
                <w:bCs w:val="1"/>
                <w:color w:val="auto"/>
                <w:w w:val="90"/>
                <w:vertAlign w:val="superscript"/>
              </w:rPr>
              <w:t>(4)</w:t>
            </w:r>
          </w:p>
        </w:tc>
        <w:tc>
          <w:tcPr>
            <w:tcW w:w="84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1"/>
              </w:rPr>
              <w:t>ranking</w:t>
            </w:r>
            <w:r>
              <w:rPr>
                <w:rFonts w:ascii="Times New Roman" w:cs="Times New Roman" w:eastAsia="Times New Roman" w:hAnsi="Times New Roman"/>
                <w:sz w:val="16"/>
                <w:szCs w:val="16"/>
                <w:b w:val="1"/>
                <w:bCs w:val="1"/>
                <w:color w:val="auto"/>
                <w:w w:val="91"/>
                <w:vertAlign w:val="superscript"/>
              </w:rPr>
              <w:t>(5)</w:t>
            </w:r>
          </w:p>
        </w:tc>
      </w:tr>
      <w:tr>
        <w:trPr>
          <w:trHeight w:val="88"/>
        </w:trPr>
        <w:tc>
          <w:tcPr>
            <w:tcW w:w="900" w:type="dxa"/>
            <w:vAlign w:val="bottom"/>
            <w:tcBorders>
              <w:bottom w:val="single" w:sz="8" w:color="auto"/>
            </w:tcBorders>
          </w:tcPr>
          <w:p>
            <w:pPr>
              <w:spacing w:after="0"/>
              <w:rPr>
                <w:sz w:val="7"/>
                <w:szCs w:val="7"/>
                <w:color w:val="auto"/>
              </w:rPr>
            </w:pPr>
          </w:p>
        </w:tc>
        <w:tc>
          <w:tcPr>
            <w:tcW w:w="780" w:type="dxa"/>
            <w:vAlign w:val="bottom"/>
            <w:tcBorders>
              <w:top w:val="single" w:sz="8" w:color="auto"/>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880" w:type="dxa"/>
            <w:vAlign w:val="bottom"/>
            <w:tcBorders>
              <w:top w:val="single" w:sz="8" w:color="auto"/>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1360" w:type="dxa"/>
            <w:vAlign w:val="bottom"/>
            <w:tcBorders>
              <w:top w:val="single" w:sz="8" w:color="auto"/>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120" w:type="dxa"/>
            <w:vAlign w:val="bottom"/>
            <w:tcBorders>
              <w:top w:val="single" w:sz="8" w:color="auto"/>
              <w:bottom w:val="single" w:sz="8" w:color="auto"/>
            </w:tcBorders>
          </w:tcPr>
          <w:p>
            <w:pPr>
              <w:spacing w:after="0"/>
              <w:rPr>
                <w:sz w:val="7"/>
                <w:szCs w:val="7"/>
                <w:color w:val="auto"/>
              </w:rPr>
            </w:pPr>
          </w:p>
        </w:tc>
        <w:tc>
          <w:tcPr>
            <w:tcW w:w="660" w:type="dxa"/>
            <w:vAlign w:val="bottom"/>
            <w:tcBorders>
              <w:top w:val="single" w:sz="8" w:color="auto"/>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120" w:type="dxa"/>
            <w:vAlign w:val="bottom"/>
            <w:tcBorders>
              <w:top w:val="single" w:sz="8" w:color="auto"/>
              <w:bottom w:val="single" w:sz="8" w:color="auto"/>
            </w:tcBorders>
          </w:tcPr>
          <w:p>
            <w:pPr>
              <w:spacing w:after="0"/>
              <w:rPr>
                <w:sz w:val="7"/>
                <w:szCs w:val="7"/>
                <w:color w:val="auto"/>
              </w:rPr>
            </w:pPr>
          </w:p>
        </w:tc>
        <w:tc>
          <w:tcPr>
            <w:tcW w:w="680" w:type="dxa"/>
            <w:vAlign w:val="bottom"/>
            <w:tcBorders>
              <w:top w:val="single" w:sz="8" w:color="auto"/>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720" w:type="dxa"/>
            <w:vAlign w:val="bottom"/>
            <w:tcBorders>
              <w:top w:val="single" w:sz="8" w:color="auto"/>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780" w:type="dxa"/>
            <w:vAlign w:val="bottom"/>
            <w:tcBorders>
              <w:top w:val="single" w:sz="8" w:color="auto"/>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800" w:type="dxa"/>
            <w:vAlign w:val="bottom"/>
            <w:tcBorders>
              <w:top w:val="single" w:sz="8" w:color="auto"/>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800" w:type="dxa"/>
            <w:vAlign w:val="bottom"/>
            <w:tcBorders>
              <w:top w:val="single" w:sz="8" w:color="auto"/>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840" w:type="dxa"/>
            <w:vAlign w:val="bottom"/>
            <w:tcBorders>
              <w:top w:val="single" w:sz="8" w:color="auto"/>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840" w:type="dxa"/>
            <w:vAlign w:val="bottom"/>
            <w:tcBorders>
              <w:top w:val="single" w:sz="8" w:color="auto"/>
              <w:bottom w:val="single" w:sz="8" w:color="auto"/>
            </w:tcBorders>
          </w:tcPr>
          <w:p>
            <w:pPr>
              <w:spacing w:after="0"/>
              <w:rPr>
                <w:sz w:val="7"/>
                <w:szCs w:val="7"/>
                <w:color w:val="auto"/>
              </w:rPr>
            </w:pPr>
          </w:p>
        </w:tc>
      </w:tr>
      <w:tr>
        <w:trPr>
          <w:trHeight w:val="174"/>
        </w:trPr>
        <w:tc>
          <w:tcPr>
            <w:tcW w:w="9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Loan 21</w:t>
            </w:r>
          </w:p>
        </w:tc>
        <w:tc>
          <w:tcPr>
            <w:tcW w:w="88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Senior</w:t>
            </w:r>
          </w:p>
        </w:tc>
        <w:tc>
          <w:tcPr>
            <w:tcW w:w="88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8"/>
              </w:rPr>
              <w:t>1/12/2022</w:t>
            </w:r>
          </w:p>
        </w:tc>
        <w:tc>
          <w:tcPr>
            <w:tcW w:w="100" w:type="dxa"/>
            <w:vAlign w:val="bottom"/>
          </w:tcPr>
          <w:p>
            <w:pPr>
              <w:spacing w:after="0"/>
              <w:rPr>
                <w:sz w:val="15"/>
                <w:szCs w:val="15"/>
                <w:color w:val="auto"/>
              </w:rPr>
            </w:pPr>
          </w:p>
        </w:tc>
        <w:tc>
          <w:tcPr>
            <w:tcW w:w="146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Los Angeles, CA</w:t>
            </w: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36,550</w:t>
            </w:r>
          </w:p>
        </w:tc>
        <w:tc>
          <w:tcPr>
            <w:tcW w:w="100" w:type="dxa"/>
            <w:vAlign w:val="bottom"/>
          </w:tcPr>
          <w:p>
            <w:pPr>
              <w:spacing w:after="0"/>
              <w:rPr>
                <w:sz w:val="15"/>
                <w:szCs w:val="15"/>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36,550</w:t>
            </w:r>
          </w:p>
        </w:tc>
        <w:tc>
          <w:tcPr>
            <w:tcW w:w="80" w:type="dxa"/>
            <w:vAlign w:val="bottom"/>
          </w:tcPr>
          <w:p>
            <w:pPr>
              <w:spacing w:after="0"/>
              <w:rPr>
                <w:sz w:val="15"/>
                <w:szCs w:val="15"/>
                <w:color w:val="auto"/>
              </w:rPr>
            </w:pPr>
          </w:p>
        </w:tc>
        <w:tc>
          <w:tcPr>
            <w:tcW w:w="80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color w:val="auto"/>
                <w:w w:val="96"/>
              </w:rPr>
              <w:t>Floating</w:t>
            </w:r>
          </w:p>
        </w:tc>
        <w:tc>
          <w:tcPr>
            <w:tcW w:w="78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5"/>
              </w:rPr>
              <w:t>3.4%</w:t>
            </w:r>
          </w:p>
        </w:tc>
        <w:tc>
          <w:tcPr>
            <w:tcW w:w="100" w:type="dxa"/>
            <w:vAlign w:val="bottom"/>
          </w:tcPr>
          <w:p>
            <w:pPr>
              <w:spacing w:after="0"/>
              <w:rPr>
                <w:sz w:val="15"/>
                <w:szCs w:val="15"/>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7.3%</w:t>
            </w:r>
          </w:p>
        </w:tc>
        <w:tc>
          <w:tcPr>
            <w:tcW w:w="100" w:type="dxa"/>
            <w:vAlign w:val="bottom"/>
          </w:tcPr>
          <w:p>
            <w:pPr>
              <w:spacing w:after="0"/>
              <w:rPr>
                <w:sz w:val="15"/>
                <w:szCs w:val="15"/>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5"/>
              </w:rPr>
              <w:t>2/9/2027</w:t>
            </w:r>
          </w:p>
        </w:tc>
        <w:tc>
          <w:tcPr>
            <w:tcW w:w="100" w:type="dxa"/>
            <w:vAlign w:val="bottom"/>
          </w:tcPr>
          <w:p>
            <w:pPr>
              <w:spacing w:after="0"/>
              <w:rPr>
                <w:sz w:val="15"/>
                <w:szCs w:val="15"/>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65%</w:t>
            </w:r>
          </w:p>
        </w:tc>
        <w:tc>
          <w:tcPr>
            <w:tcW w:w="100" w:type="dxa"/>
            <w:vAlign w:val="bottom"/>
          </w:tcPr>
          <w:p>
            <w:pPr>
              <w:spacing w:after="0"/>
              <w:rPr>
                <w:sz w:val="15"/>
                <w:szCs w:val="15"/>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1"/>
              </w:rPr>
              <w:t>3</w:t>
            </w:r>
          </w:p>
        </w:tc>
      </w:tr>
      <w:tr>
        <w:trPr>
          <w:trHeight w:val="197"/>
        </w:trPr>
        <w:tc>
          <w:tcPr>
            <w:tcW w:w="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Loan 22</w:t>
            </w:r>
          </w:p>
        </w:tc>
        <w:tc>
          <w:tcPr>
            <w:tcW w:w="8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Senior</w:t>
            </w:r>
          </w:p>
        </w:tc>
        <w:tc>
          <w:tcPr>
            <w:tcW w:w="8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8"/>
              </w:rPr>
              <w:t>5/15/2026</w:t>
            </w:r>
          </w:p>
        </w:tc>
        <w:tc>
          <w:tcPr>
            <w:tcW w:w="100" w:type="dxa"/>
            <w:vAlign w:val="bottom"/>
            <w:shd w:val="clear" w:color="auto" w:fill="CCEEFF"/>
          </w:tcPr>
          <w:p>
            <w:pPr>
              <w:spacing w:after="0"/>
              <w:rPr>
                <w:sz w:val="17"/>
                <w:szCs w:val="17"/>
                <w:color w:val="auto"/>
              </w:rPr>
            </w:pPr>
          </w:p>
        </w:tc>
        <w:tc>
          <w:tcPr>
            <w:tcW w:w="14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Las Vegas, NV</w:t>
            </w: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34,951</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35,250</w:t>
            </w:r>
          </w:p>
        </w:tc>
        <w:tc>
          <w:tcPr>
            <w:tcW w:w="8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3"/>
                <w:szCs w:val="13"/>
                <w:color w:val="auto"/>
                <w:w w:val="96"/>
              </w:rPr>
              <w:t>Floating</w:t>
            </w:r>
          </w:p>
        </w:tc>
        <w:tc>
          <w:tcPr>
            <w:tcW w:w="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5"/>
              </w:rPr>
              <w:t>2.4%</w:t>
            </w: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6.7%</w:t>
            </w: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5"/>
              </w:rPr>
              <w:t>6/9/2031</w:t>
            </w: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61%</w:t>
            </w: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1"/>
              </w:rPr>
              <w:t>3</w:t>
            </w:r>
          </w:p>
        </w:tc>
      </w:tr>
      <w:tr>
        <w:trPr>
          <w:trHeight w:val="181"/>
        </w:trPr>
        <w:tc>
          <w:tcPr>
            <w:tcW w:w="9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Loan 23</w:t>
            </w:r>
          </w:p>
        </w:tc>
        <w:tc>
          <w:tcPr>
            <w:tcW w:w="88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Senior</w:t>
            </w:r>
          </w:p>
        </w:tc>
        <w:tc>
          <w:tcPr>
            <w:tcW w:w="88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8"/>
              </w:rPr>
              <w:t>5/21/2026</w:t>
            </w:r>
          </w:p>
        </w:tc>
        <w:tc>
          <w:tcPr>
            <w:tcW w:w="100" w:type="dxa"/>
            <w:vAlign w:val="bottom"/>
          </w:tcPr>
          <w:p>
            <w:pPr>
              <w:spacing w:after="0"/>
              <w:rPr>
                <w:sz w:val="15"/>
                <w:szCs w:val="15"/>
                <w:color w:val="auto"/>
              </w:rPr>
            </w:pPr>
          </w:p>
        </w:tc>
        <w:tc>
          <w:tcPr>
            <w:tcW w:w="146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Tucson, AZ</w:t>
            </w:r>
          </w:p>
        </w:tc>
        <w:tc>
          <w:tcPr>
            <w:tcW w:w="12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34,070</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34,416</w:t>
            </w:r>
          </w:p>
        </w:tc>
        <w:tc>
          <w:tcPr>
            <w:tcW w:w="80" w:type="dxa"/>
            <w:vAlign w:val="bottom"/>
          </w:tcPr>
          <w:p>
            <w:pPr>
              <w:spacing w:after="0"/>
              <w:rPr>
                <w:sz w:val="15"/>
                <w:szCs w:val="15"/>
                <w:color w:val="auto"/>
              </w:rPr>
            </w:pPr>
          </w:p>
        </w:tc>
        <w:tc>
          <w:tcPr>
            <w:tcW w:w="80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color w:val="auto"/>
                <w:w w:val="96"/>
              </w:rPr>
              <w:t>Floating</w:t>
            </w:r>
          </w:p>
        </w:tc>
        <w:tc>
          <w:tcPr>
            <w:tcW w:w="78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5"/>
              </w:rPr>
              <w:t>2.5%</w:t>
            </w:r>
          </w:p>
        </w:tc>
        <w:tc>
          <w:tcPr>
            <w:tcW w:w="100" w:type="dxa"/>
            <w:vAlign w:val="bottom"/>
          </w:tcPr>
          <w:p>
            <w:pPr>
              <w:spacing w:after="0"/>
              <w:rPr>
                <w:sz w:val="15"/>
                <w:szCs w:val="15"/>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6.8%</w:t>
            </w:r>
          </w:p>
        </w:tc>
        <w:tc>
          <w:tcPr>
            <w:tcW w:w="100" w:type="dxa"/>
            <w:vAlign w:val="bottom"/>
          </w:tcPr>
          <w:p>
            <w:pPr>
              <w:spacing w:after="0"/>
              <w:rPr>
                <w:sz w:val="15"/>
                <w:szCs w:val="15"/>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5"/>
              </w:rPr>
              <w:t>6/9/2031</w:t>
            </w:r>
          </w:p>
        </w:tc>
        <w:tc>
          <w:tcPr>
            <w:tcW w:w="100" w:type="dxa"/>
            <w:vAlign w:val="bottom"/>
          </w:tcPr>
          <w:p>
            <w:pPr>
              <w:spacing w:after="0"/>
              <w:rPr>
                <w:sz w:val="15"/>
                <w:szCs w:val="15"/>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70%</w:t>
            </w:r>
          </w:p>
        </w:tc>
        <w:tc>
          <w:tcPr>
            <w:tcW w:w="100" w:type="dxa"/>
            <w:vAlign w:val="bottom"/>
          </w:tcPr>
          <w:p>
            <w:pPr>
              <w:spacing w:after="0"/>
              <w:rPr>
                <w:sz w:val="15"/>
                <w:szCs w:val="15"/>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1"/>
              </w:rPr>
              <w:t>3</w:t>
            </w:r>
          </w:p>
        </w:tc>
      </w:tr>
      <w:tr>
        <w:trPr>
          <w:trHeight w:val="197"/>
        </w:trPr>
        <w:tc>
          <w:tcPr>
            <w:tcW w:w="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Loan 24</w:t>
            </w:r>
          </w:p>
        </w:tc>
        <w:tc>
          <w:tcPr>
            <w:tcW w:w="8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Senior</w:t>
            </w:r>
          </w:p>
        </w:tc>
        <w:tc>
          <w:tcPr>
            <w:tcW w:w="8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8"/>
              </w:rPr>
              <w:t>7/29/2021</w:t>
            </w:r>
          </w:p>
        </w:tc>
        <w:tc>
          <w:tcPr>
            <w:tcW w:w="100" w:type="dxa"/>
            <w:vAlign w:val="bottom"/>
            <w:shd w:val="clear" w:color="auto" w:fill="CCEEFF"/>
          </w:tcPr>
          <w:p>
            <w:pPr>
              <w:spacing w:after="0"/>
              <w:rPr>
                <w:sz w:val="17"/>
                <w:szCs w:val="17"/>
                <w:color w:val="auto"/>
              </w:rPr>
            </w:pPr>
          </w:p>
        </w:tc>
        <w:tc>
          <w:tcPr>
            <w:tcW w:w="14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Phoenix, AZ</w:t>
            </w: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33,325</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33,325</w:t>
            </w:r>
          </w:p>
        </w:tc>
        <w:tc>
          <w:tcPr>
            <w:tcW w:w="8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3"/>
                <w:szCs w:val="13"/>
                <w:color w:val="auto"/>
                <w:w w:val="96"/>
              </w:rPr>
              <w:t>Floating</w:t>
            </w:r>
          </w:p>
        </w:tc>
        <w:tc>
          <w:tcPr>
            <w:tcW w:w="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5"/>
              </w:rPr>
              <w:t>3.4%</w:t>
            </w: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7.3%</w:t>
            </w: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5"/>
              </w:rPr>
              <w:t>1/9/2027</w:t>
            </w: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75%</w:t>
            </w: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1"/>
              </w:rPr>
              <w:t>3</w:t>
            </w:r>
          </w:p>
        </w:tc>
      </w:tr>
      <w:tr>
        <w:trPr>
          <w:trHeight w:val="181"/>
        </w:trPr>
        <w:tc>
          <w:tcPr>
            <w:tcW w:w="9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Loan 25</w:t>
            </w:r>
          </w:p>
        </w:tc>
        <w:tc>
          <w:tcPr>
            <w:tcW w:w="88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Senior</w:t>
            </w:r>
          </w:p>
        </w:tc>
        <w:tc>
          <w:tcPr>
            <w:tcW w:w="88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8"/>
              </w:rPr>
              <w:t>2/20/2025</w:t>
            </w:r>
          </w:p>
        </w:tc>
        <w:tc>
          <w:tcPr>
            <w:tcW w:w="100" w:type="dxa"/>
            <w:vAlign w:val="bottom"/>
          </w:tcPr>
          <w:p>
            <w:pPr>
              <w:spacing w:after="0"/>
              <w:rPr>
                <w:sz w:val="15"/>
                <w:szCs w:val="15"/>
                <w:color w:val="auto"/>
              </w:rPr>
            </w:pPr>
          </w:p>
        </w:tc>
        <w:tc>
          <w:tcPr>
            <w:tcW w:w="146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Las Vegas, NV</w:t>
            </w:r>
          </w:p>
        </w:tc>
        <w:tc>
          <w:tcPr>
            <w:tcW w:w="12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32,930</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33,000</w:t>
            </w:r>
          </w:p>
        </w:tc>
        <w:tc>
          <w:tcPr>
            <w:tcW w:w="80" w:type="dxa"/>
            <w:vAlign w:val="bottom"/>
          </w:tcPr>
          <w:p>
            <w:pPr>
              <w:spacing w:after="0"/>
              <w:rPr>
                <w:sz w:val="15"/>
                <w:szCs w:val="15"/>
                <w:color w:val="auto"/>
              </w:rPr>
            </w:pPr>
          </w:p>
        </w:tc>
        <w:tc>
          <w:tcPr>
            <w:tcW w:w="80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color w:val="auto"/>
                <w:w w:val="96"/>
              </w:rPr>
              <w:t>Floating</w:t>
            </w:r>
          </w:p>
        </w:tc>
        <w:tc>
          <w:tcPr>
            <w:tcW w:w="78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5"/>
              </w:rPr>
              <w:t>3.4%</w:t>
            </w:r>
          </w:p>
        </w:tc>
        <w:tc>
          <w:tcPr>
            <w:tcW w:w="100" w:type="dxa"/>
            <w:vAlign w:val="bottom"/>
          </w:tcPr>
          <w:p>
            <w:pPr>
              <w:spacing w:after="0"/>
              <w:rPr>
                <w:sz w:val="15"/>
                <w:szCs w:val="15"/>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7.8%</w:t>
            </w:r>
          </w:p>
        </w:tc>
        <w:tc>
          <w:tcPr>
            <w:tcW w:w="100" w:type="dxa"/>
            <w:vAlign w:val="bottom"/>
          </w:tcPr>
          <w:p>
            <w:pPr>
              <w:spacing w:after="0"/>
              <w:rPr>
                <w:sz w:val="15"/>
                <w:szCs w:val="15"/>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5"/>
              </w:rPr>
              <w:t>3/9/2030</w:t>
            </w:r>
          </w:p>
        </w:tc>
        <w:tc>
          <w:tcPr>
            <w:tcW w:w="100" w:type="dxa"/>
            <w:vAlign w:val="bottom"/>
          </w:tcPr>
          <w:p>
            <w:pPr>
              <w:spacing w:after="0"/>
              <w:rPr>
                <w:sz w:val="15"/>
                <w:szCs w:val="15"/>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59%</w:t>
            </w:r>
          </w:p>
        </w:tc>
        <w:tc>
          <w:tcPr>
            <w:tcW w:w="100" w:type="dxa"/>
            <w:vAlign w:val="bottom"/>
          </w:tcPr>
          <w:p>
            <w:pPr>
              <w:spacing w:after="0"/>
              <w:rPr>
                <w:sz w:val="15"/>
                <w:szCs w:val="15"/>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1"/>
              </w:rPr>
              <w:t>3</w:t>
            </w:r>
          </w:p>
        </w:tc>
      </w:tr>
      <w:tr>
        <w:trPr>
          <w:trHeight w:val="197"/>
        </w:trPr>
        <w:tc>
          <w:tcPr>
            <w:tcW w:w="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Loan 26</w:t>
            </w:r>
          </w:p>
        </w:tc>
        <w:tc>
          <w:tcPr>
            <w:tcW w:w="8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Senior</w:t>
            </w:r>
          </w:p>
        </w:tc>
        <w:tc>
          <w:tcPr>
            <w:tcW w:w="8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4"/>
              </w:rPr>
              <w:t>12/23/2025</w:t>
            </w:r>
          </w:p>
        </w:tc>
        <w:tc>
          <w:tcPr>
            <w:tcW w:w="100" w:type="dxa"/>
            <w:vAlign w:val="bottom"/>
            <w:shd w:val="clear" w:color="auto" w:fill="CCEEFF"/>
          </w:tcPr>
          <w:p>
            <w:pPr>
              <w:spacing w:after="0"/>
              <w:rPr>
                <w:sz w:val="17"/>
                <w:szCs w:val="17"/>
                <w:color w:val="auto"/>
              </w:rPr>
            </w:pPr>
          </w:p>
        </w:tc>
        <w:tc>
          <w:tcPr>
            <w:tcW w:w="14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Jackson, TN</w:t>
            </w: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32,743</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33,000</w:t>
            </w:r>
          </w:p>
        </w:tc>
        <w:tc>
          <w:tcPr>
            <w:tcW w:w="8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3"/>
                <w:szCs w:val="13"/>
                <w:color w:val="auto"/>
                <w:w w:val="96"/>
              </w:rPr>
              <w:t>Floating</w:t>
            </w:r>
          </w:p>
        </w:tc>
        <w:tc>
          <w:tcPr>
            <w:tcW w:w="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5"/>
              </w:rPr>
              <w:t>3.0%</w:t>
            </w: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7.2%</w:t>
            </w: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5"/>
              </w:rPr>
              <w:t>1/9/2031</w:t>
            </w: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62%</w:t>
            </w: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1"/>
              </w:rPr>
              <w:t>3</w:t>
            </w:r>
          </w:p>
        </w:tc>
      </w:tr>
      <w:tr>
        <w:trPr>
          <w:trHeight w:val="181"/>
        </w:trPr>
        <w:tc>
          <w:tcPr>
            <w:tcW w:w="9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Loan 27</w:t>
            </w:r>
          </w:p>
        </w:tc>
        <w:tc>
          <w:tcPr>
            <w:tcW w:w="88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Senior</w:t>
            </w:r>
          </w:p>
        </w:tc>
        <w:tc>
          <w:tcPr>
            <w:tcW w:w="88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4"/>
              </w:rPr>
              <w:t>10/14/2025</w:t>
            </w:r>
          </w:p>
        </w:tc>
        <w:tc>
          <w:tcPr>
            <w:tcW w:w="100" w:type="dxa"/>
            <w:vAlign w:val="bottom"/>
          </w:tcPr>
          <w:p>
            <w:pPr>
              <w:spacing w:after="0"/>
              <w:rPr>
                <w:sz w:val="15"/>
                <w:szCs w:val="15"/>
                <w:color w:val="auto"/>
              </w:rPr>
            </w:pPr>
          </w:p>
        </w:tc>
        <w:tc>
          <w:tcPr>
            <w:tcW w:w="146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New Braunfels, TX</w:t>
            </w:r>
          </w:p>
        </w:tc>
        <w:tc>
          <w:tcPr>
            <w:tcW w:w="12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32,158</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32,340</w:t>
            </w:r>
          </w:p>
        </w:tc>
        <w:tc>
          <w:tcPr>
            <w:tcW w:w="80" w:type="dxa"/>
            <w:vAlign w:val="bottom"/>
          </w:tcPr>
          <w:p>
            <w:pPr>
              <w:spacing w:after="0"/>
              <w:rPr>
                <w:sz w:val="15"/>
                <w:szCs w:val="15"/>
                <w:color w:val="auto"/>
              </w:rPr>
            </w:pPr>
          </w:p>
        </w:tc>
        <w:tc>
          <w:tcPr>
            <w:tcW w:w="80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color w:val="auto"/>
                <w:w w:val="96"/>
              </w:rPr>
              <w:t>Floating</w:t>
            </w:r>
          </w:p>
        </w:tc>
        <w:tc>
          <w:tcPr>
            <w:tcW w:w="78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5"/>
              </w:rPr>
              <w:t>2.6%</w:t>
            </w:r>
          </w:p>
        </w:tc>
        <w:tc>
          <w:tcPr>
            <w:tcW w:w="100" w:type="dxa"/>
            <w:vAlign w:val="bottom"/>
          </w:tcPr>
          <w:p>
            <w:pPr>
              <w:spacing w:after="0"/>
              <w:rPr>
                <w:sz w:val="15"/>
                <w:szCs w:val="15"/>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7.0%</w:t>
            </w:r>
          </w:p>
        </w:tc>
        <w:tc>
          <w:tcPr>
            <w:tcW w:w="100" w:type="dxa"/>
            <w:vAlign w:val="bottom"/>
          </w:tcPr>
          <w:p>
            <w:pPr>
              <w:spacing w:after="0"/>
              <w:rPr>
                <w:sz w:val="15"/>
                <w:szCs w:val="15"/>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8"/>
              </w:rPr>
              <w:t>11/9/2030</w:t>
            </w:r>
          </w:p>
        </w:tc>
        <w:tc>
          <w:tcPr>
            <w:tcW w:w="100" w:type="dxa"/>
            <w:vAlign w:val="bottom"/>
          </w:tcPr>
          <w:p>
            <w:pPr>
              <w:spacing w:after="0"/>
              <w:rPr>
                <w:sz w:val="15"/>
                <w:szCs w:val="15"/>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68%</w:t>
            </w:r>
          </w:p>
        </w:tc>
        <w:tc>
          <w:tcPr>
            <w:tcW w:w="100" w:type="dxa"/>
            <w:vAlign w:val="bottom"/>
          </w:tcPr>
          <w:p>
            <w:pPr>
              <w:spacing w:after="0"/>
              <w:rPr>
                <w:sz w:val="15"/>
                <w:szCs w:val="15"/>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1"/>
              </w:rPr>
              <w:t>3</w:t>
            </w:r>
          </w:p>
        </w:tc>
      </w:tr>
      <w:tr>
        <w:trPr>
          <w:trHeight w:val="197"/>
        </w:trPr>
        <w:tc>
          <w:tcPr>
            <w:tcW w:w="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Loan 28</w:t>
            </w:r>
          </w:p>
        </w:tc>
        <w:tc>
          <w:tcPr>
            <w:tcW w:w="8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Senior</w:t>
            </w:r>
          </w:p>
        </w:tc>
        <w:tc>
          <w:tcPr>
            <w:tcW w:w="8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8"/>
              </w:rPr>
              <w:t>4/29/2021</w:t>
            </w:r>
          </w:p>
        </w:tc>
        <w:tc>
          <w:tcPr>
            <w:tcW w:w="100" w:type="dxa"/>
            <w:vAlign w:val="bottom"/>
            <w:shd w:val="clear" w:color="auto" w:fill="CCEEFF"/>
          </w:tcPr>
          <w:p>
            <w:pPr>
              <w:spacing w:after="0"/>
              <w:rPr>
                <w:sz w:val="17"/>
                <w:szCs w:val="17"/>
                <w:color w:val="auto"/>
              </w:rPr>
            </w:pPr>
          </w:p>
        </w:tc>
        <w:tc>
          <w:tcPr>
            <w:tcW w:w="14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Las Vegas, NV</w:t>
            </w: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31,678</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31,678</w:t>
            </w:r>
          </w:p>
        </w:tc>
        <w:tc>
          <w:tcPr>
            <w:tcW w:w="8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3"/>
                <w:szCs w:val="13"/>
                <w:color w:val="auto"/>
                <w:w w:val="96"/>
              </w:rPr>
              <w:t>Floating</w:t>
            </w:r>
          </w:p>
        </w:tc>
        <w:tc>
          <w:tcPr>
            <w:tcW w:w="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5"/>
              </w:rPr>
              <w:t>3.2%</w:t>
            </w: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7.1%</w:t>
            </w: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5"/>
              </w:rPr>
              <w:t>5/9/2027</w:t>
            </w: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76%</w:t>
            </w: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1"/>
              </w:rPr>
              <w:t>3</w:t>
            </w:r>
          </w:p>
        </w:tc>
      </w:tr>
      <w:tr>
        <w:trPr>
          <w:trHeight w:val="181"/>
        </w:trPr>
        <w:tc>
          <w:tcPr>
            <w:tcW w:w="9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Loan 29</w:t>
            </w:r>
          </w:p>
        </w:tc>
        <w:tc>
          <w:tcPr>
            <w:tcW w:w="88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Senior</w:t>
            </w:r>
          </w:p>
        </w:tc>
        <w:tc>
          <w:tcPr>
            <w:tcW w:w="88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8"/>
              </w:rPr>
              <w:t>2/17/2022</w:t>
            </w:r>
          </w:p>
        </w:tc>
        <w:tc>
          <w:tcPr>
            <w:tcW w:w="100" w:type="dxa"/>
            <w:vAlign w:val="bottom"/>
          </w:tcPr>
          <w:p>
            <w:pPr>
              <w:spacing w:after="0"/>
              <w:rPr>
                <w:sz w:val="15"/>
                <w:szCs w:val="15"/>
                <w:color w:val="auto"/>
              </w:rPr>
            </w:pPr>
          </w:p>
        </w:tc>
        <w:tc>
          <w:tcPr>
            <w:tcW w:w="146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Long Beach, CA</w:t>
            </w:r>
          </w:p>
        </w:tc>
        <w:tc>
          <w:tcPr>
            <w:tcW w:w="12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31,563</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31,522</w:t>
            </w:r>
          </w:p>
        </w:tc>
        <w:tc>
          <w:tcPr>
            <w:tcW w:w="80" w:type="dxa"/>
            <w:vAlign w:val="bottom"/>
          </w:tcPr>
          <w:p>
            <w:pPr>
              <w:spacing w:after="0"/>
              <w:rPr>
                <w:sz w:val="15"/>
                <w:szCs w:val="15"/>
                <w:color w:val="auto"/>
              </w:rPr>
            </w:pPr>
          </w:p>
        </w:tc>
        <w:tc>
          <w:tcPr>
            <w:tcW w:w="80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color w:val="auto"/>
                <w:w w:val="96"/>
              </w:rPr>
              <w:t>Floating</w:t>
            </w:r>
          </w:p>
        </w:tc>
        <w:tc>
          <w:tcPr>
            <w:tcW w:w="78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5"/>
              </w:rPr>
              <w:t>3.4%</w:t>
            </w:r>
          </w:p>
        </w:tc>
        <w:tc>
          <w:tcPr>
            <w:tcW w:w="100" w:type="dxa"/>
            <w:vAlign w:val="bottom"/>
          </w:tcPr>
          <w:p>
            <w:pPr>
              <w:spacing w:after="0"/>
              <w:rPr>
                <w:sz w:val="15"/>
                <w:szCs w:val="15"/>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7.3%</w:t>
            </w:r>
          </w:p>
        </w:tc>
        <w:tc>
          <w:tcPr>
            <w:tcW w:w="100" w:type="dxa"/>
            <w:vAlign w:val="bottom"/>
          </w:tcPr>
          <w:p>
            <w:pPr>
              <w:spacing w:after="0"/>
              <w:rPr>
                <w:sz w:val="15"/>
                <w:szCs w:val="15"/>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5"/>
              </w:rPr>
              <w:t>3/9/2027</w:t>
            </w:r>
          </w:p>
        </w:tc>
        <w:tc>
          <w:tcPr>
            <w:tcW w:w="100" w:type="dxa"/>
            <w:vAlign w:val="bottom"/>
          </w:tcPr>
          <w:p>
            <w:pPr>
              <w:spacing w:after="0"/>
              <w:rPr>
                <w:sz w:val="15"/>
                <w:szCs w:val="15"/>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67%</w:t>
            </w:r>
          </w:p>
        </w:tc>
        <w:tc>
          <w:tcPr>
            <w:tcW w:w="100" w:type="dxa"/>
            <w:vAlign w:val="bottom"/>
          </w:tcPr>
          <w:p>
            <w:pPr>
              <w:spacing w:after="0"/>
              <w:rPr>
                <w:sz w:val="15"/>
                <w:szCs w:val="15"/>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1"/>
              </w:rPr>
              <w:t>3</w:t>
            </w:r>
          </w:p>
        </w:tc>
      </w:tr>
      <w:tr>
        <w:trPr>
          <w:trHeight w:val="197"/>
        </w:trPr>
        <w:tc>
          <w:tcPr>
            <w:tcW w:w="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Loan 30</w:t>
            </w:r>
          </w:p>
        </w:tc>
        <w:tc>
          <w:tcPr>
            <w:tcW w:w="8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Senior</w:t>
            </w:r>
          </w:p>
        </w:tc>
        <w:tc>
          <w:tcPr>
            <w:tcW w:w="8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8"/>
              </w:rPr>
              <w:t>4/28/2026</w:t>
            </w:r>
          </w:p>
        </w:tc>
        <w:tc>
          <w:tcPr>
            <w:tcW w:w="100" w:type="dxa"/>
            <w:vAlign w:val="bottom"/>
            <w:shd w:val="clear" w:color="auto" w:fill="CCEEFF"/>
          </w:tcPr>
          <w:p>
            <w:pPr>
              <w:spacing w:after="0"/>
              <w:rPr>
                <w:sz w:val="17"/>
                <w:szCs w:val="17"/>
                <w:color w:val="auto"/>
              </w:rPr>
            </w:pPr>
          </w:p>
        </w:tc>
        <w:tc>
          <w:tcPr>
            <w:tcW w:w="14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Birmingham, AL</w:t>
            </w: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31,038</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31,325</w:t>
            </w:r>
          </w:p>
        </w:tc>
        <w:tc>
          <w:tcPr>
            <w:tcW w:w="8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3"/>
                <w:szCs w:val="13"/>
                <w:color w:val="auto"/>
                <w:w w:val="96"/>
              </w:rPr>
              <w:t>Floating</w:t>
            </w:r>
          </w:p>
        </w:tc>
        <w:tc>
          <w:tcPr>
            <w:tcW w:w="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5"/>
              </w:rPr>
              <w:t>2.8%</w:t>
            </w: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7.2%</w:t>
            </w: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5"/>
              </w:rPr>
              <w:t>5/9/2031</w:t>
            </w: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67%</w:t>
            </w: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1"/>
              </w:rPr>
              <w:t>3</w:t>
            </w:r>
          </w:p>
        </w:tc>
      </w:tr>
      <w:tr>
        <w:trPr>
          <w:trHeight w:val="181"/>
        </w:trPr>
        <w:tc>
          <w:tcPr>
            <w:tcW w:w="9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Loan 31</w:t>
            </w:r>
          </w:p>
        </w:tc>
        <w:tc>
          <w:tcPr>
            <w:tcW w:w="88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Senior</w:t>
            </w:r>
          </w:p>
        </w:tc>
        <w:tc>
          <w:tcPr>
            <w:tcW w:w="88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8"/>
              </w:rPr>
              <w:t>7/20/2026</w:t>
            </w:r>
          </w:p>
        </w:tc>
        <w:tc>
          <w:tcPr>
            <w:tcW w:w="100" w:type="dxa"/>
            <w:vAlign w:val="bottom"/>
          </w:tcPr>
          <w:p>
            <w:pPr>
              <w:spacing w:after="0"/>
              <w:rPr>
                <w:sz w:val="15"/>
                <w:szCs w:val="15"/>
                <w:color w:val="auto"/>
              </w:rPr>
            </w:pPr>
          </w:p>
        </w:tc>
        <w:tc>
          <w:tcPr>
            <w:tcW w:w="146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Los Angeles, CA</w:t>
            </w:r>
          </w:p>
        </w:tc>
        <w:tc>
          <w:tcPr>
            <w:tcW w:w="12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30,989</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31,300</w:t>
            </w:r>
          </w:p>
        </w:tc>
        <w:tc>
          <w:tcPr>
            <w:tcW w:w="80" w:type="dxa"/>
            <w:vAlign w:val="bottom"/>
          </w:tcPr>
          <w:p>
            <w:pPr>
              <w:spacing w:after="0"/>
              <w:rPr>
                <w:sz w:val="15"/>
                <w:szCs w:val="15"/>
                <w:color w:val="auto"/>
              </w:rPr>
            </w:pPr>
          </w:p>
        </w:tc>
        <w:tc>
          <w:tcPr>
            <w:tcW w:w="80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color w:val="auto"/>
                <w:w w:val="96"/>
              </w:rPr>
              <w:t>Floating</w:t>
            </w:r>
          </w:p>
        </w:tc>
        <w:tc>
          <w:tcPr>
            <w:tcW w:w="78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5"/>
              </w:rPr>
              <w:t>2.8%</w:t>
            </w:r>
          </w:p>
        </w:tc>
        <w:tc>
          <w:tcPr>
            <w:tcW w:w="100" w:type="dxa"/>
            <w:vAlign w:val="bottom"/>
          </w:tcPr>
          <w:p>
            <w:pPr>
              <w:spacing w:after="0"/>
              <w:rPr>
                <w:sz w:val="15"/>
                <w:szCs w:val="15"/>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7.0%</w:t>
            </w:r>
          </w:p>
        </w:tc>
        <w:tc>
          <w:tcPr>
            <w:tcW w:w="100" w:type="dxa"/>
            <w:vAlign w:val="bottom"/>
          </w:tcPr>
          <w:p>
            <w:pPr>
              <w:spacing w:after="0"/>
              <w:rPr>
                <w:sz w:val="15"/>
                <w:szCs w:val="15"/>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5"/>
              </w:rPr>
              <w:t>8/9/2031</w:t>
            </w:r>
          </w:p>
        </w:tc>
        <w:tc>
          <w:tcPr>
            <w:tcW w:w="100" w:type="dxa"/>
            <w:vAlign w:val="bottom"/>
          </w:tcPr>
          <w:p>
            <w:pPr>
              <w:spacing w:after="0"/>
              <w:rPr>
                <w:sz w:val="15"/>
                <w:szCs w:val="15"/>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78%</w:t>
            </w:r>
          </w:p>
        </w:tc>
        <w:tc>
          <w:tcPr>
            <w:tcW w:w="100" w:type="dxa"/>
            <w:vAlign w:val="bottom"/>
          </w:tcPr>
          <w:p>
            <w:pPr>
              <w:spacing w:after="0"/>
              <w:rPr>
                <w:sz w:val="15"/>
                <w:szCs w:val="15"/>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1"/>
              </w:rPr>
              <w:t>3</w:t>
            </w:r>
          </w:p>
        </w:tc>
      </w:tr>
      <w:tr>
        <w:trPr>
          <w:trHeight w:val="197"/>
        </w:trPr>
        <w:tc>
          <w:tcPr>
            <w:tcW w:w="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Loan 32</w:t>
            </w:r>
          </w:p>
        </w:tc>
        <w:tc>
          <w:tcPr>
            <w:tcW w:w="8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Senior</w:t>
            </w:r>
          </w:p>
        </w:tc>
        <w:tc>
          <w:tcPr>
            <w:tcW w:w="8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8"/>
              </w:rPr>
              <w:t>4/15/2022</w:t>
            </w:r>
          </w:p>
        </w:tc>
        <w:tc>
          <w:tcPr>
            <w:tcW w:w="100" w:type="dxa"/>
            <w:vAlign w:val="bottom"/>
            <w:shd w:val="clear" w:color="auto" w:fill="CCEEFF"/>
          </w:tcPr>
          <w:p>
            <w:pPr>
              <w:spacing w:after="0"/>
              <w:rPr>
                <w:sz w:val="17"/>
                <w:szCs w:val="17"/>
                <w:color w:val="auto"/>
              </w:rPr>
            </w:pPr>
          </w:p>
        </w:tc>
        <w:tc>
          <w:tcPr>
            <w:tcW w:w="14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Mesa, AZ</w:t>
            </w: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30,160</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30,160</w:t>
            </w:r>
          </w:p>
        </w:tc>
        <w:tc>
          <w:tcPr>
            <w:tcW w:w="8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3"/>
                <w:szCs w:val="13"/>
                <w:color w:val="auto"/>
                <w:w w:val="96"/>
              </w:rPr>
              <w:t>Floating</w:t>
            </w:r>
          </w:p>
        </w:tc>
        <w:tc>
          <w:tcPr>
            <w:tcW w:w="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5"/>
              </w:rPr>
              <w:t>3.4%</w:t>
            </w: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7.3%</w:t>
            </w: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5"/>
              </w:rPr>
              <w:t>5/9/2027</w:t>
            </w: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75%</w:t>
            </w: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1"/>
              </w:rPr>
              <w:t>3</w:t>
            </w:r>
          </w:p>
        </w:tc>
      </w:tr>
      <w:tr>
        <w:trPr>
          <w:trHeight w:val="181"/>
        </w:trPr>
        <w:tc>
          <w:tcPr>
            <w:tcW w:w="9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Loan 33</w:t>
            </w:r>
          </w:p>
        </w:tc>
        <w:tc>
          <w:tcPr>
            <w:tcW w:w="88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Senior</w:t>
            </w:r>
          </w:p>
        </w:tc>
        <w:tc>
          <w:tcPr>
            <w:tcW w:w="88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8"/>
              </w:rPr>
              <w:t>2/13/2025</w:t>
            </w:r>
          </w:p>
        </w:tc>
        <w:tc>
          <w:tcPr>
            <w:tcW w:w="100" w:type="dxa"/>
            <w:vAlign w:val="bottom"/>
          </w:tcPr>
          <w:p>
            <w:pPr>
              <w:spacing w:after="0"/>
              <w:rPr>
                <w:sz w:val="15"/>
                <w:szCs w:val="15"/>
                <w:color w:val="auto"/>
              </w:rPr>
            </w:pPr>
          </w:p>
        </w:tc>
        <w:tc>
          <w:tcPr>
            <w:tcW w:w="146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Las Vegas, NV</w:t>
            </w:r>
          </w:p>
        </w:tc>
        <w:tc>
          <w:tcPr>
            <w:tcW w:w="12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29,765</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29,827</w:t>
            </w:r>
          </w:p>
        </w:tc>
        <w:tc>
          <w:tcPr>
            <w:tcW w:w="80" w:type="dxa"/>
            <w:vAlign w:val="bottom"/>
          </w:tcPr>
          <w:p>
            <w:pPr>
              <w:spacing w:after="0"/>
              <w:rPr>
                <w:sz w:val="15"/>
                <w:szCs w:val="15"/>
                <w:color w:val="auto"/>
              </w:rPr>
            </w:pPr>
          </w:p>
        </w:tc>
        <w:tc>
          <w:tcPr>
            <w:tcW w:w="80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color w:val="auto"/>
                <w:w w:val="96"/>
              </w:rPr>
              <w:t>Floating</w:t>
            </w:r>
          </w:p>
        </w:tc>
        <w:tc>
          <w:tcPr>
            <w:tcW w:w="78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5"/>
              </w:rPr>
              <w:t>2.7%</w:t>
            </w:r>
          </w:p>
        </w:tc>
        <w:tc>
          <w:tcPr>
            <w:tcW w:w="100" w:type="dxa"/>
            <w:vAlign w:val="bottom"/>
          </w:tcPr>
          <w:p>
            <w:pPr>
              <w:spacing w:after="0"/>
              <w:rPr>
                <w:sz w:val="15"/>
                <w:szCs w:val="15"/>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7.0%</w:t>
            </w:r>
          </w:p>
        </w:tc>
        <w:tc>
          <w:tcPr>
            <w:tcW w:w="100" w:type="dxa"/>
            <w:vAlign w:val="bottom"/>
          </w:tcPr>
          <w:p>
            <w:pPr>
              <w:spacing w:after="0"/>
              <w:rPr>
                <w:sz w:val="15"/>
                <w:szCs w:val="15"/>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5"/>
              </w:rPr>
              <w:t>3/9/2030</w:t>
            </w:r>
          </w:p>
        </w:tc>
        <w:tc>
          <w:tcPr>
            <w:tcW w:w="100" w:type="dxa"/>
            <w:vAlign w:val="bottom"/>
          </w:tcPr>
          <w:p>
            <w:pPr>
              <w:spacing w:after="0"/>
              <w:rPr>
                <w:sz w:val="15"/>
                <w:szCs w:val="15"/>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70%</w:t>
            </w:r>
          </w:p>
        </w:tc>
        <w:tc>
          <w:tcPr>
            <w:tcW w:w="100" w:type="dxa"/>
            <w:vAlign w:val="bottom"/>
          </w:tcPr>
          <w:p>
            <w:pPr>
              <w:spacing w:after="0"/>
              <w:rPr>
                <w:sz w:val="15"/>
                <w:szCs w:val="15"/>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1"/>
              </w:rPr>
              <w:t>3</w:t>
            </w:r>
          </w:p>
        </w:tc>
      </w:tr>
      <w:tr>
        <w:trPr>
          <w:trHeight w:val="197"/>
        </w:trPr>
        <w:tc>
          <w:tcPr>
            <w:tcW w:w="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Loan 34</w:t>
            </w:r>
          </w:p>
        </w:tc>
        <w:tc>
          <w:tcPr>
            <w:tcW w:w="8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Senior</w:t>
            </w:r>
          </w:p>
        </w:tc>
        <w:tc>
          <w:tcPr>
            <w:tcW w:w="8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8"/>
              </w:rPr>
              <w:t>9/18/2025</w:t>
            </w:r>
          </w:p>
        </w:tc>
        <w:tc>
          <w:tcPr>
            <w:tcW w:w="100" w:type="dxa"/>
            <w:vAlign w:val="bottom"/>
            <w:shd w:val="clear" w:color="auto" w:fill="CCEEFF"/>
          </w:tcPr>
          <w:p>
            <w:pPr>
              <w:spacing w:after="0"/>
              <w:rPr>
                <w:sz w:val="17"/>
                <w:szCs w:val="17"/>
                <w:color w:val="auto"/>
              </w:rPr>
            </w:pPr>
          </w:p>
        </w:tc>
        <w:tc>
          <w:tcPr>
            <w:tcW w:w="14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Nashville, TN</w:t>
            </w: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29,506</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29,715</w:t>
            </w:r>
          </w:p>
        </w:tc>
        <w:tc>
          <w:tcPr>
            <w:tcW w:w="8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3"/>
                <w:szCs w:val="13"/>
                <w:color w:val="auto"/>
                <w:w w:val="96"/>
              </w:rPr>
              <w:t>Floating</w:t>
            </w:r>
          </w:p>
        </w:tc>
        <w:tc>
          <w:tcPr>
            <w:tcW w:w="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5"/>
              </w:rPr>
              <w:t>2.6%</w:t>
            </w: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6.8%</w:t>
            </w: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8"/>
              </w:rPr>
              <w:t>10/9/2030</w:t>
            </w: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68%</w:t>
            </w: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1"/>
              </w:rPr>
              <w:t>3</w:t>
            </w:r>
          </w:p>
        </w:tc>
      </w:tr>
      <w:tr>
        <w:trPr>
          <w:trHeight w:val="181"/>
        </w:trPr>
        <w:tc>
          <w:tcPr>
            <w:tcW w:w="9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Loan 35</w:t>
            </w:r>
          </w:p>
        </w:tc>
        <w:tc>
          <w:tcPr>
            <w:tcW w:w="88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Senior</w:t>
            </w:r>
          </w:p>
        </w:tc>
        <w:tc>
          <w:tcPr>
            <w:tcW w:w="88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8"/>
              </w:rPr>
              <w:t>8/31/2021</w:t>
            </w:r>
          </w:p>
        </w:tc>
        <w:tc>
          <w:tcPr>
            <w:tcW w:w="100" w:type="dxa"/>
            <w:vAlign w:val="bottom"/>
          </w:tcPr>
          <w:p>
            <w:pPr>
              <w:spacing w:after="0"/>
              <w:rPr>
                <w:sz w:val="15"/>
                <w:szCs w:val="15"/>
                <w:color w:val="auto"/>
              </w:rPr>
            </w:pPr>
          </w:p>
        </w:tc>
        <w:tc>
          <w:tcPr>
            <w:tcW w:w="146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Glendale, AZ</w:t>
            </w:r>
          </w:p>
        </w:tc>
        <w:tc>
          <w:tcPr>
            <w:tcW w:w="12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28,942</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28,855</w:t>
            </w:r>
          </w:p>
        </w:tc>
        <w:tc>
          <w:tcPr>
            <w:tcW w:w="80" w:type="dxa"/>
            <w:vAlign w:val="bottom"/>
          </w:tcPr>
          <w:p>
            <w:pPr>
              <w:spacing w:after="0"/>
              <w:rPr>
                <w:sz w:val="15"/>
                <w:szCs w:val="15"/>
                <w:color w:val="auto"/>
              </w:rPr>
            </w:pPr>
          </w:p>
        </w:tc>
        <w:tc>
          <w:tcPr>
            <w:tcW w:w="80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color w:val="auto"/>
                <w:w w:val="96"/>
              </w:rPr>
              <w:t>Floating</w:t>
            </w:r>
          </w:p>
        </w:tc>
        <w:tc>
          <w:tcPr>
            <w:tcW w:w="78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5"/>
              </w:rPr>
              <w:t>3.3%</w:t>
            </w:r>
          </w:p>
        </w:tc>
        <w:tc>
          <w:tcPr>
            <w:tcW w:w="100" w:type="dxa"/>
            <w:vAlign w:val="bottom"/>
          </w:tcPr>
          <w:p>
            <w:pPr>
              <w:spacing w:after="0"/>
              <w:rPr>
                <w:sz w:val="15"/>
                <w:szCs w:val="15"/>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7.2%</w:t>
            </w:r>
          </w:p>
        </w:tc>
        <w:tc>
          <w:tcPr>
            <w:tcW w:w="100" w:type="dxa"/>
            <w:vAlign w:val="bottom"/>
          </w:tcPr>
          <w:p>
            <w:pPr>
              <w:spacing w:after="0"/>
              <w:rPr>
                <w:sz w:val="15"/>
                <w:szCs w:val="15"/>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5"/>
              </w:rPr>
              <w:t>3/9/2027</w:t>
            </w:r>
          </w:p>
        </w:tc>
        <w:tc>
          <w:tcPr>
            <w:tcW w:w="100" w:type="dxa"/>
            <w:vAlign w:val="bottom"/>
          </w:tcPr>
          <w:p>
            <w:pPr>
              <w:spacing w:after="0"/>
              <w:rPr>
                <w:sz w:val="15"/>
                <w:szCs w:val="15"/>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75%</w:t>
            </w:r>
          </w:p>
        </w:tc>
        <w:tc>
          <w:tcPr>
            <w:tcW w:w="100" w:type="dxa"/>
            <w:vAlign w:val="bottom"/>
          </w:tcPr>
          <w:p>
            <w:pPr>
              <w:spacing w:after="0"/>
              <w:rPr>
                <w:sz w:val="15"/>
                <w:szCs w:val="15"/>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1"/>
              </w:rPr>
              <w:t>3</w:t>
            </w:r>
          </w:p>
        </w:tc>
      </w:tr>
      <w:tr>
        <w:trPr>
          <w:trHeight w:val="197"/>
        </w:trPr>
        <w:tc>
          <w:tcPr>
            <w:tcW w:w="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Loan 36</w:t>
            </w:r>
          </w:p>
        </w:tc>
        <w:tc>
          <w:tcPr>
            <w:tcW w:w="8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Senior</w:t>
            </w:r>
          </w:p>
        </w:tc>
        <w:tc>
          <w:tcPr>
            <w:tcW w:w="8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8"/>
              </w:rPr>
              <w:t>4/23/2026</w:t>
            </w:r>
          </w:p>
        </w:tc>
        <w:tc>
          <w:tcPr>
            <w:tcW w:w="100" w:type="dxa"/>
            <w:vAlign w:val="bottom"/>
            <w:shd w:val="clear" w:color="auto" w:fill="CCEEFF"/>
          </w:tcPr>
          <w:p>
            <w:pPr>
              <w:spacing w:after="0"/>
              <w:rPr>
                <w:sz w:val="17"/>
                <w:szCs w:val="17"/>
                <w:color w:val="auto"/>
              </w:rPr>
            </w:pPr>
          </w:p>
        </w:tc>
        <w:tc>
          <w:tcPr>
            <w:tcW w:w="14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Raleigh, NC</w:t>
            </w: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28,756</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29,043</w:t>
            </w:r>
          </w:p>
        </w:tc>
        <w:tc>
          <w:tcPr>
            <w:tcW w:w="8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3"/>
                <w:szCs w:val="13"/>
                <w:color w:val="auto"/>
                <w:w w:val="96"/>
              </w:rPr>
              <w:t>Floating</w:t>
            </w:r>
          </w:p>
        </w:tc>
        <w:tc>
          <w:tcPr>
            <w:tcW w:w="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5"/>
              </w:rPr>
              <w:t>2.8%</w:t>
            </w: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7.0%</w:t>
            </w: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5"/>
              </w:rPr>
              <w:t>5/9/2031</w:t>
            </w: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72%</w:t>
            </w: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1"/>
              </w:rPr>
              <w:t>3</w:t>
            </w:r>
          </w:p>
        </w:tc>
      </w:tr>
      <w:tr>
        <w:trPr>
          <w:trHeight w:val="181"/>
        </w:trPr>
        <w:tc>
          <w:tcPr>
            <w:tcW w:w="9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Loan 37</w:t>
            </w:r>
          </w:p>
        </w:tc>
        <w:tc>
          <w:tcPr>
            <w:tcW w:w="88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Senior</w:t>
            </w:r>
          </w:p>
        </w:tc>
        <w:tc>
          <w:tcPr>
            <w:tcW w:w="88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5"/>
              </w:rPr>
              <w:t>5/7/2026</w:t>
            </w:r>
          </w:p>
        </w:tc>
        <w:tc>
          <w:tcPr>
            <w:tcW w:w="100" w:type="dxa"/>
            <w:vAlign w:val="bottom"/>
          </w:tcPr>
          <w:p>
            <w:pPr>
              <w:spacing w:after="0"/>
              <w:rPr>
                <w:sz w:val="15"/>
                <w:szCs w:val="15"/>
                <w:color w:val="auto"/>
              </w:rPr>
            </w:pPr>
          </w:p>
        </w:tc>
        <w:tc>
          <w:tcPr>
            <w:tcW w:w="146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Austin, TX</w:t>
            </w:r>
          </w:p>
        </w:tc>
        <w:tc>
          <w:tcPr>
            <w:tcW w:w="12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28,654</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28,948</w:t>
            </w:r>
          </w:p>
        </w:tc>
        <w:tc>
          <w:tcPr>
            <w:tcW w:w="80" w:type="dxa"/>
            <w:vAlign w:val="bottom"/>
          </w:tcPr>
          <w:p>
            <w:pPr>
              <w:spacing w:after="0"/>
              <w:rPr>
                <w:sz w:val="15"/>
                <w:szCs w:val="15"/>
                <w:color w:val="auto"/>
              </w:rPr>
            </w:pPr>
          </w:p>
        </w:tc>
        <w:tc>
          <w:tcPr>
            <w:tcW w:w="80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color w:val="auto"/>
                <w:w w:val="96"/>
              </w:rPr>
              <w:t>Floating</w:t>
            </w:r>
          </w:p>
        </w:tc>
        <w:tc>
          <w:tcPr>
            <w:tcW w:w="78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5"/>
              </w:rPr>
              <w:t>2.6%</w:t>
            </w:r>
          </w:p>
        </w:tc>
        <w:tc>
          <w:tcPr>
            <w:tcW w:w="100" w:type="dxa"/>
            <w:vAlign w:val="bottom"/>
          </w:tcPr>
          <w:p>
            <w:pPr>
              <w:spacing w:after="0"/>
              <w:rPr>
                <w:sz w:val="15"/>
                <w:szCs w:val="15"/>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6.8%</w:t>
            </w:r>
          </w:p>
        </w:tc>
        <w:tc>
          <w:tcPr>
            <w:tcW w:w="100" w:type="dxa"/>
            <w:vAlign w:val="bottom"/>
          </w:tcPr>
          <w:p>
            <w:pPr>
              <w:spacing w:after="0"/>
              <w:rPr>
                <w:sz w:val="15"/>
                <w:szCs w:val="15"/>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5"/>
              </w:rPr>
              <w:t>5/9/2031</w:t>
            </w:r>
          </w:p>
        </w:tc>
        <w:tc>
          <w:tcPr>
            <w:tcW w:w="100" w:type="dxa"/>
            <w:vAlign w:val="bottom"/>
          </w:tcPr>
          <w:p>
            <w:pPr>
              <w:spacing w:after="0"/>
              <w:rPr>
                <w:sz w:val="15"/>
                <w:szCs w:val="15"/>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74%</w:t>
            </w:r>
          </w:p>
        </w:tc>
        <w:tc>
          <w:tcPr>
            <w:tcW w:w="100" w:type="dxa"/>
            <w:vAlign w:val="bottom"/>
          </w:tcPr>
          <w:p>
            <w:pPr>
              <w:spacing w:after="0"/>
              <w:rPr>
                <w:sz w:val="15"/>
                <w:szCs w:val="15"/>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1"/>
              </w:rPr>
              <w:t>3</w:t>
            </w:r>
          </w:p>
        </w:tc>
      </w:tr>
      <w:tr>
        <w:trPr>
          <w:trHeight w:val="197"/>
        </w:trPr>
        <w:tc>
          <w:tcPr>
            <w:tcW w:w="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Loan 38</w:t>
            </w:r>
          </w:p>
        </w:tc>
        <w:tc>
          <w:tcPr>
            <w:tcW w:w="8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Senior</w:t>
            </w:r>
          </w:p>
        </w:tc>
        <w:tc>
          <w:tcPr>
            <w:tcW w:w="8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8"/>
              </w:rPr>
              <w:t>9/26/2025</w:t>
            </w:r>
          </w:p>
        </w:tc>
        <w:tc>
          <w:tcPr>
            <w:tcW w:w="100" w:type="dxa"/>
            <w:vAlign w:val="bottom"/>
            <w:shd w:val="clear" w:color="auto" w:fill="CCEEFF"/>
          </w:tcPr>
          <w:p>
            <w:pPr>
              <w:spacing w:after="0"/>
              <w:rPr>
                <w:sz w:val="17"/>
                <w:szCs w:val="17"/>
                <w:color w:val="auto"/>
              </w:rPr>
            </w:pPr>
          </w:p>
        </w:tc>
        <w:tc>
          <w:tcPr>
            <w:tcW w:w="14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Nashville, TN</w:t>
            </w: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27,852</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28,000</w:t>
            </w:r>
          </w:p>
        </w:tc>
        <w:tc>
          <w:tcPr>
            <w:tcW w:w="8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3"/>
                <w:szCs w:val="13"/>
                <w:color w:val="auto"/>
                <w:w w:val="96"/>
              </w:rPr>
              <w:t>Floating</w:t>
            </w:r>
          </w:p>
        </w:tc>
        <w:tc>
          <w:tcPr>
            <w:tcW w:w="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5"/>
              </w:rPr>
              <w:t>2.7%</w:t>
            </w: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7.1%</w:t>
            </w: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8"/>
              </w:rPr>
              <w:t>10/9/2030</w:t>
            </w: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65%</w:t>
            </w: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1"/>
              </w:rPr>
              <w:t>3</w:t>
            </w:r>
          </w:p>
        </w:tc>
      </w:tr>
      <w:tr>
        <w:trPr>
          <w:trHeight w:val="181"/>
        </w:trPr>
        <w:tc>
          <w:tcPr>
            <w:tcW w:w="9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Loan 39</w:t>
            </w:r>
          </w:p>
        </w:tc>
        <w:tc>
          <w:tcPr>
            <w:tcW w:w="88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Senior</w:t>
            </w:r>
          </w:p>
        </w:tc>
        <w:tc>
          <w:tcPr>
            <w:tcW w:w="88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8"/>
              </w:rPr>
              <w:t>1/22/2026</w:t>
            </w:r>
          </w:p>
        </w:tc>
        <w:tc>
          <w:tcPr>
            <w:tcW w:w="100" w:type="dxa"/>
            <w:vAlign w:val="bottom"/>
          </w:tcPr>
          <w:p>
            <w:pPr>
              <w:spacing w:after="0"/>
              <w:rPr>
                <w:sz w:val="15"/>
                <w:szCs w:val="15"/>
                <w:color w:val="auto"/>
              </w:rPr>
            </w:pPr>
          </w:p>
        </w:tc>
        <w:tc>
          <w:tcPr>
            <w:tcW w:w="146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Costa Mesa, CA</w:t>
            </w:r>
          </w:p>
        </w:tc>
        <w:tc>
          <w:tcPr>
            <w:tcW w:w="12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27,806</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28,000</w:t>
            </w:r>
          </w:p>
        </w:tc>
        <w:tc>
          <w:tcPr>
            <w:tcW w:w="80" w:type="dxa"/>
            <w:vAlign w:val="bottom"/>
          </w:tcPr>
          <w:p>
            <w:pPr>
              <w:spacing w:after="0"/>
              <w:rPr>
                <w:sz w:val="15"/>
                <w:szCs w:val="15"/>
                <w:color w:val="auto"/>
              </w:rPr>
            </w:pPr>
          </w:p>
        </w:tc>
        <w:tc>
          <w:tcPr>
            <w:tcW w:w="80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color w:val="auto"/>
                <w:w w:val="96"/>
              </w:rPr>
              <w:t>Floating</w:t>
            </w:r>
          </w:p>
        </w:tc>
        <w:tc>
          <w:tcPr>
            <w:tcW w:w="78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5"/>
              </w:rPr>
              <w:t>2.4%</w:t>
            </w:r>
          </w:p>
        </w:tc>
        <w:tc>
          <w:tcPr>
            <w:tcW w:w="100" w:type="dxa"/>
            <w:vAlign w:val="bottom"/>
          </w:tcPr>
          <w:p>
            <w:pPr>
              <w:spacing w:after="0"/>
              <w:rPr>
                <w:sz w:val="15"/>
                <w:szCs w:val="15"/>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6.8%</w:t>
            </w:r>
          </w:p>
        </w:tc>
        <w:tc>
          <w:tcPr>
            <w:tcW w:w="100" w:type="dxa"/>
            <w:vAlign w:val="bottom"/>
          </w:tcPr>
          <w:p>
            <w:pPr>
              <w:spacing w:after="0"/>
              <w:rPr>
                <w:sz w:val="15"/>
                <w:szCs w:val="15"/>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5"/>
              </w:rPr>
              <w:t>2/9/2031</w:t>
            </w:r>
          </w:p>
        </w:tc>
        <w:tc>
          <w:tcPr>
            <w:tcW w:w="100" w:type="dxa"/>
            <w:vAlign w:val="bottom"/>
          </w:tcPr>
          <w:p>
            <w:pPr>
              <w:spacing w:after="0"/>
              <w:rPr>
                <w:sz w:val="15"/>
                <w:szCs w:val="15"/>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63%</w:t>
            </w:r>
          </w:p>
        </w:tc>
        <w:tc>
          <w:tcPr>
            <w:tcW w:w="100" w:type="dxa"/>
            <w:vAlign w:val="bottom"/>
          </w:tcPr>
          <w:p>
            <w:pPr>
              <w:spacing w:after="0"/>
              <w:rPr>
                <w:sz w:val="15"/>
                <w:szCs w:val="15"/>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1"/>
              </w:rPr>
              <w:t>3</w:t>
            </w:r>
          </w:p>
        </w:tc>
      </w:tr>
      <w:tr>
        <w:trPr>
          <w:trHeight w:val="197"/>
        </w:trPr>
        <w:tc>
          <w:tcPr>
            <w:tcW w:w="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Loan 40</w:t>
            </w:r>
          </w:p>
        </w:tc>
        <w:tc>
          <w:tcPr>
            <w:tcW w:w="8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Senior</w:t>
            </w:r>
          </w:p>
        </w:tc>
        <w:tc>
          <w:tcPr>
            <w:tcW w:w="8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8"/>
              </w:rPr>
              <w:t>2/25/2025</w:t>
            </w:r>
          </w:p>
        </w:tc>
        <w:tc>
          <w:tcPr>
            <w:tcW w:w="100" w:type="dxa"/>
            <w:vAlign w:val="bottom"/>
            <w:shd w:val="clear" w:color="auto" w:fill="CCEEFF"/>
          </w:tcPr>
          <w:p>
            <w:pPr>
              <w:spacing w:after="0"/>
              <w:rPr>
                <w:sz w:val="17"/>
                <w:szCs w:val="17"/>
                <w:color w:val="auto"/>
              </w:rPr>
            </w:pPr>
          </w:p>
        </w:tc>
        <w:tc>
          <w:tcPr>
            <w:tcW w:w="14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Denver, CO</w:t>
            </w: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25,687</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25,687</w:t>
            </w:r>
          </w:p>
        </w:tc>
        <w:tc>
          <w:tcPr>
            <w:tcW w:w="8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3"/>
                <w:szCs w:val="13"/>
                <w:color w:val="auto"/>
                <w:w w:val="96"/>
              </w:rPr>
              <w:t>Floating</w:t>
            </w:r>
          </w:p>
        </w:tc>
        <w:tc>
          <w:tcPr>
            <w:tcW w:w="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5"/>
              </w:rPr>
              <w:t>3.3%</w:t>
            </w: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7.7%</w:t>
            </w: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5"/>
              </w:rPr>
              <w:t>3/9/2028</w:t>
            </w: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68%</w:t>
            </w: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1"/>
              </w:rPr>
              <w:t>3</w:t>
            </w:r>
          </w:p>
        </w:tc>
      </w:tr>
      <w:tr>
        <w:trPr>
          <w:trHeight w:val="181"/>
        </w:trPr>
        <w:tc>
          <w:tcPr>
            <w:tcW w:w="9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Loan 41</w:t>
            </w:r>
          </w:p>
        </w:tc>
        <w:tc>
          <w:tcPr>
            <w:tcW w:w="88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Senior</w:t>
            </w:r>
          </w:p>
        </w:tc>
        <w:tc>
          <w:tcPr>
            <w:tcW w:w="88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4"/>
              </w:rPr>
              <w:t>12/21/2021</w:t>
            </w:r>
          </w:p>
        </w:tc>
        <w:tc>
          <w:tcPr>
            <w:tcW w:w="100" w:type="dxa"/>
            <w:vAlign w:val="bottom"/>
          </w:tcPr>
          <w:p>
            <w:pPr>
              <w:spacing w:after="0"/>
              <w:rPr>
                <w:sz w:val="15"/>
                <w:szCs w:val="15"/>
                <w:color w:val="auto"/>
              </w:rPr>
            </w:pPr>
          </w:p>
        </w:tc>
        <w:tc>
          <w:tcPr>
            <w:tcW w:w="146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Phoenix, AZ</w:t>
            </w:r>
          </w:p>
        </w:tc>
        <w:tc>
          <w:tcPr>
            <w:tcW w:w="12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25,596</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25,596</w:t>
            </w:r>
          </w:p>
        </w:tc>
        <w:tc>
          <w:tcPr>
            <w:tcW w:w="80" w:type="dxa"/>
            <w:vAlign w:val="bottom"/>
          </w:tcPr>
          <w:p>
            <w:pPr>
              <w:spacing w:after="0"/>
              <w:rPr>
                <w:sz w:val="15"/>
                <w:szCs w:val="15"/>
                <w:color w:val="auto"/>
              </w:rPr>
            </w:pPr>
          </w:p>
        </w:tc>
        <w:tc>
          <w:tcPr>
            <w:tcW w:w="80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color w:val="auto"/>
                <w:w w:val="96"/>
              </w:rPr>
              <w:t>Floating</w:t>
            </w:r>
          </w:p>
        </w:tc>
        <w:tc>
          <w:tcPr>
            <w:tcW w:w="78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5"/>
              </w:rPr>
              <w:t>3.6%</w:t>
            </w:r>
          </w:p>
        </w:tc>
        <w:tc>
          <w:tcPr>
            <w:tcW w:w="100" w:type="dxa"/>
            <w:vAlign w:val="bottom"/>
          </w:tcPr>
          <w:p>
            <w:pPr>
              <w:spacing w:after="0"/>
              <w:rPr>
                <w:sz w:val="15"/>
                <w:szCs w:val="15"/>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7.5%</w:t>
            </w:r>
          </w:p>
        </w:tc>
        <w:tc>
          <w:tcPr>
            <w:tcW w:w="100" w:type="dxa"/>
            <w:vAlign w:val="bottom"/>
          </w:tcPr>
          <w:p>
            <w:pPr>
              <w:spacing w:after="0"/>
              <w:rPr>
                <w:sz w:val="15"/>
                <w:szCs w:val="15"/>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5"/>
              </w:rPr>
              <w:t>1/9/2027</w:t>
            </w:r>
          </w:p>
        </w:tc>
        <w:tc>
          <w:tcPr>
            <w:tcW w:w="100" w:type="dxa"/>
            <w:vAlign w:val="bottom"/>
          </w:tcPr>
          <w:p>
            <w:pPr>
              <w:spacing w:after="0"/>
              <w:rPr>
                <w:sz w:val="15"/>
                <w:szCs w:val="15"/>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75%</w:t>
            </w:r>
          </w:p>
        </w:tc>
        <w:tc>
          <w:tcPr>
            <w:tcW w:w="100" w:type="dxa"/>
            <w:vAlign w:val="bottom"/>
          </w:tcPr>
          <w:p>
            <w:pPr>
              <w:spacing w:after="0"/>
              <w:rPr>
                <w:sz w:val="15"/>
                <w:szCs w:val="15"/>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1"/>
              </w:rPr>
              <w:t>3</w:t>
            </w:r>
          </w:p>
        </w:tc>
      </w:tr>
      <w:tr>
        <w:trPr>
          <w:trHeight w:val="197"/>
        </w:trPr>
        <w:tc>
          <w:tcPr>
            <w:tcW w:w="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Loan 42</w:t>
            </w:r>
          </w:p>
        </w:tc>
        <w:tc>
          <w:tcPr>
            <w:tcW w:w="8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Senior</w:t>
            </w:r>
          </w:p>
        </w:tc>
        <w:tc>
          <w:tcPr>
            <w:tcW w:w="8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8"/>
              </w:rPr>
              <w:t>11/4/2025</w:t>
            </w:r>
          </w:p>
        </w:tc>
        <w:tc>
          <w:tcPr>
            <w:tcW w:w="100" w:type="dxa"/>
            <w:vAlign w:val="bottom"/>
            <w:shd w:val="clear" w:color="auto" w:fill="CCEEFF"/>
          </w:tcPr>
          <w:p>
            <w:pPr>
              <w:spacing w:after="0"/>
              <w:rPr>
                <w:sz w:val="17"/>
                <w:szCs w:val="17"/>
                <w:color w:val="auto"/>
              </w:rPr>
            </w:pPr>
          </w:p>
        </w:tc>
        <w:tc>
          <w:tcPr>
            <w:tcW w:w="14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Santa Rosa, CA</w:t>
            </w: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25,509</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25,724</w:t>
            </w:r>
          </w:p>
        </w:tc>
        <w:tc>
          <w:tcPr>
            <w:tcW w:w="8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3"/>
                <w:szCs w:val="13"/>
                <w:color w:val="auto"/>
                <w:w w:val="96"/>
              </w:rPr>
              <w:t>Floating</w:t>
            </w:r>
          </w:p>
        </w:tc>
        <w:tc>
          <w:tcPr>
            <w:tcW w:w="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5"/>
              </w:rPr>
              <w:t>2.8%</w:t>
            </w: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7.0%</w:t>
            </w: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8"/>
              </w:rPr>
              <w:t>12/9/2030</w:t>
            </w: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74%</w:t>
            </w: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1"/>
              </w:rPr>
              <w:t>3</w:t>
            </w:r>
          </w:p>
        </w:tc>
      </w:tr>
      <w:tr>
        <w:trPr>
          <w:trHeight w:val="181"/>
        </w:trPr>
        <w:tc>
          <w:tcPr>
            <w:tcW w:w="9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Loan 43</w:t>
            </w:r>
          </w:p>
        </w:tc>
        <w:tc>
          <w:tcPr>
            <w:tcW w:w="88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Senior</w:t>
            </w:r>
          </w:p>
        </w:tc>
        <w:tc>
          <w:tcPr>
            <w:tcW w:w="88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8"/>
              </w:rPr>
              <w:t>7/12/2022</w:t>
            </w:r>
          </w:p>
        </w:tc>
        <w:tc>
          <w:tcPr>
            <w:tcW w:w="100" w:type="dxa"/>
            <w:vAlign w:val="bottom"/>
          </w:tcPr>
          <w:p>
            <w:pPr>
              <w:spacing w:after="0"/>
              <w:rPr>
                <w:sz w:val="15"/>
                <w:szCs w:val="15"/>
                <w:color w:val="auto"/>
              </w:rPr>
            </w:pPr>
          </w:p>
        </w:tc>
        <w:tc>
          <w:tcPr>
            <w:tcW w:w="146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Irving, TX</w:t>
            </w:r>
          </w:p>
        </w:tc>
        <w:tc>
          <w:tcPr>
            <w:tcW w:w="12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25,496</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25,433</w:t>
            </w:r>
          </w:p>
        </w:tc>
        <w:tc>
          <w:tcPr>
            <w:tcW w:w="80" w:type="dxa"/>
            <w:vAlign w:val="bottom"/>
          </w:tcPr>
          <w:p>
            <w:pPr>
              <w:spacing w:after="0"/>
              <w:rPr>
                <w:sz w:val="15"/>
                <w:szCs w:val="15"/>
                <w:color w:val="auto"/>
              </w:rPr>
            </w:pPr>
          </w:p>
        </w:tc>
        <w:tc>
          <w:tcPr>
            <w:tcW w:w="80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color w:val="auto"/>
                <w:w w:val="96"/>
              </w:rPr>
              <w:t>Floating</w:t>
            </w:r>
          </w:p>
        </w:tc>
        <w:tc>
          <w:tcPr>
            <w:tcW w:w="78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5"/>
              </w:rPr>
              <w:t>3.6%</w:t>
            </w:r>
          </w:p>
        </w:tc>
        <w:tc>
          <w:tcPr>
            <w:tcW w:w="100" w:type="dxa"/>
            <w:vAlign w:val="bottom"/>
          </w:tcPr>
          <w:p>
            <w:pPr>
              <w:spacing w:after="0"/>
              <w:rPr>
                <w:sz w:val="15"/>
                <w:szCs w:val="15"/>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7.5%</w:t>
            </w:r>
          </w:p>
        </w:tc>
        <w:tc>
          <w:tcPr>
            <w:tcW w:w="100" w:type="dxa"/>
            <w:vAlign w:val="bottom"/>
          </w:tcPr>
          <w:p>
            <w:pPr>
              <w:spacing w:after="0"/>
              <w:rPr>
                <w:sz w:val="15"/>
                <w:szCs w:val="15"/>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5"/>
              </w:rPr>
              <w:t>8/9/2027</w:t>
            </w:r>
          </w:p>
        </w:tc>
        <w:tc>
          <w:tcPr>
            <w:tcW w:w="100" w:type="dxa"/>
            <w:vAlign w:val="bottom"/>
          </w:tcPr>
          <w:p>
            <w:pPr>
              <w:spacing w:after="0"/>
              <w:rPr>
                <w:sz w:val="15"/>
                <w:szCs w:val="15"/>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72%</w:t>
            </w:r>
          </w:p>
        </w:tc>
        <w:tc>
          <w:tcPr>
            <w:tcW w:w="100" w:type="dxa"/>
            <w:vAlign w:val="bottom"/>
          </w:tcPr>
          <w:p>
            <w:pPr>
              <w:spacing w:after="0"/>
              <w:rPr>
                <w:sz w:val="15"/>
                <w:szCs w:val="15"/>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1"/>
              </w:rPr>
              <w:t>3</w:t>
            </w:r>
          </w:p>
        </w:tc>
      </w:tr>
      <w:tr>
        <w:trPr>
          <w:trHeight w:val="197"/>
        </w:trPr>
        <w:tc>
          <w:tcPr>
            <w:tcW w:w="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Loan 44</w:t>
            </w:r>
          </w:p>
        </w:tc>
        <w:tc>
          <w:tcPr>
            <w:tcW w:w="8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Senior</w:t>
            </w:r>
          </w:p>
        </w:tc>
        <w:tc>
          <w:tcPr>
            <w:tcW w:w="8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5"/>
              </w:rPr>
              <w:t>3/8/2022</w:t>
            </w:r>
          </w:p>
        </w:tc>
        <w:tc>
          <w:tcPr>
            <w:tcW w:w="100" w:type="dxa"/>
            <w:vAlign w:val="bottom"/>
            <w:shd w:val="clear" w:color="auto" w:fill="CCEEFF"/>
          </w:tcPr>
          <w:p>
            <w:pPr>
              <w:spacing w:after="0"/>
              <w:rPr>
                <w:sz w:val="17"/>
                <w:szCs w:val="17"/>
                <w:color w:val="auto"/>
              </w:rPr>
            </w:pPr>
          </w:p>
        </w:tc>
        <w:tc>
          <w:tcPr>
            <w:tcW w:w="14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Glendale, AZ</w:t>
            </w: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25,347</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25,347</w:t>
            </w:r>
          </w:p>
        </w:tc>
        <w:tc>
          <w:tcPr>
            <w:tcW w:w="8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3"/>
                <w:szCs w:val="13"/>
                <w:color w:val="auto"/>
                <w:w w:val="96"/>
              </w:rPr>
              <w:t>Floating</w:t>
            </w:r>
          </w:p>
        </w:tc>
        <w:tc>
          <w:tcPr>
            <w:tcW w:w="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5"/>
              </w:rPr>
              <w:t>3.5%</w:t>
            </w: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7.4%</w:t>
            </w: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5"/>
              </w:rPr>
              <w:t>3/9/2027</w:t>
            </w: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73%</w:t>
            </w: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1"/>
              </w:rPr>
              <w:t>3</w:t>
            </w:r>
          </w:p>
        </w:tc>
      </w:tr>
      <w:tr>
        <w:trPr>
          <w:trHeight w:val="181"/>
        </w:trPr>
        <w:tc>
          <w:tcPr>
            <w:tcW w:w="9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Loan 45</w:t>
            </w:r>
          </w:p>
        </w:tc>
        <w:tc>
          <w:tcPr>
            <w:tcW w:w="88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Senior</w:t>
            </w:r>
          </w:p>
        </w:tc>
        <w:tc>
          <w:tcPr>
            <w:tcW w:w="88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8"/>
              </w:rPr>
              <w:t>8/17/2026</w:t>
            </w:r>
          </w:p>
        </w:tc>
        <w:tc>
          <w:tcPr>
            <w:tcW w:w="100" w:type="dxa"/>
            <w:vAlign w:val="bottom"/>
          </w:tcPr>
          <w:p>
            <w:pPr>
              <w:spacing w:after="0"/>
              <w:rPr>
                <w:sz w:val="15"/>
                <w:szCs w:val="15"/>
                <w:color w:val="auto"/>
              </w:rPr>
            </w:pPr>
          </w:p>
        </w:tc>
        <w:tc>
          <w:tcPr>
            <w:tcW w:w="146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Los Angeles, CA</w:t>
            </w:r>
          </w:p>
        </w:tc>
        <w:tc>
          <w:tcPr>
            <w:tcW w:w="12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24,849</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25,095</w:t>
            </w:r>
          </w:p>
        </w:tc>
        <w:tc>
          <w:tcPr>
            <w:tcW w:w="80" w:type="dxa"/>
            <w:vAlign w:val="bottom"/>
          </w:tcPr>
          <w:p>
            <w:pPr>
              <w:spacing w:after="0"/>
              <w:rPr>
                <w:sz w:val="15"/>
                <w:szCs w:val="15"/>
                <w:color w:val="auto"/>
              </w:rPr>
            </w:pPr>
          </w:p>
        </w:tc>
        <w:tc>
          <w:tcPr>
            <w:tcW w:w="80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color w:val="auto"/>
                <w:w w:val="96"/>
              </w:rPr>
              <w:t>Floating</w:t>
            </w:r>
          </w:p>
        </w:tc>
        <w:tc>
          <w:tcPr>
            <w:tcW w:w="78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5"/>
              </w:rPr>
              <w:t>2.5%</w:t>
            </w:r>
          </w:p>
        </w:tc>
        <w:tc>
          <w:tcPr>
            <w:tcW w:w="100" w:type="dxa"/>
            <w:vAlign w:val="bottom"/>
          </w:tcPr>
          <w:p>
            <w:pPr>
              <w:spacing w:after="0"/>
              <w:rPr>
                <w:sz w:val="15"/>
                <w:szCs w:val="15"/>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6.8%</w:t>
            </w:r>
          </w:p>
        </w:tc>
        <w:tc>
          <w:tcPr>
            <w:tcW w:w="100" w:type="dxa"/>
            <w:vAlign w:val="bottom"/>
          </w:tcPr>
          <w:p>
            <w:pPr>
              <w:spacing w:after="0"/>
              <w:rPr>
                <w:sz w:val="15"/>
                <w:szCs w:val="15"/>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5"/>
              </w:rPr>
              <w:t>9/9/2031</w:t>
            </w:r>
          </w:p>
        </w:tc>
        <w:tc>
          <w:tcPr>
            <w:tcW w:w="100" w:type="dxa"/>
            <w:vAlign w:val="bottom"/>
          </w:tcPr>
          <w:p>
            <w:pPr>
              <w:spacing w:after="0"/>
              <w:rPr>
                <w:sz w:val="15"/>
                <w:szCs w:val="15"/>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75%</w:t>
            </w:r>
          </w:p>
        </w:tc>
        <w:tc>
          <w:tcPr>
            <w:tcW w:w="100" w:type="dxa"/>
            <w:vAlign w:val="bottom"/>
          </w:tcPr>
          <w:p>
            <w:pPr>
              <w:spacing w:after="0"/>
              <w:rPr>
                <w:sz w:val="15"/>
                <w:szCs w:val="15"/>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1"/>
              </w:rPr>
              <w:t>3</w:t>
            </w:r>
          </w:p>
        </w:tc>
      </w:tr>
      <w:tr>
        <w:trPr>
          <w:trHeight w:val="197"/>
        </w:trPr>
        <w:tc>
          <w:tcPr>
            <w:tcW w:w="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Loan 46</w:t>
            </w:r>
          </w:p>
        </w:tc>
        <w:tc>
          <w:tcPr>
            <w:tcW w:w="8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Senior</w:t>
            </w:r>
          </w:p>
        </w:tc>
        <w:tc>
          <w:tcPr>
            <w:tcW w:w="8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8"/>
              </w:rPr>
              <w:t>3/31/2022</w:t>
            </w:r>
          </w:p>
        </w:tc>
        <w:tc>
          <w:tcPr>
            <w:tcW w:w="100" w:type="dxa"/>
            <w:vAlign w:val="bottom"/>
            <w:shd w:val="clear" w:color="auto" w:fill="CCEEFF"/>
          </w:tcPr>
          <w:p>
            <w:pPr>
              <w:spacing w:after="0"/>
              <w:rPr>
                <w:sz w:val="17"/>
                <w:szCs w:val="17"/>
                <w:color w:val="auto"/>
              </w:rPr>
            </w:pPr>
          </w:p>
        </w:tc>
        <w:tc>
          <w:tcPr>
            <w:tcW w:w="14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Phoenix, AZ</w:t>
            </w: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24,001</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24,001</w:t>
            </w:r>
          </w:p>
        </w:tc>
        <w:tc>
          <w:tcPr>
            <w:tcW w:w="8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3"/>
                <w:szCs w:val="13"/>
                <w:color w:val="auto"/>
                <w:w w:val="96"/>
              </w:rPr>
              <w:t>Floating</w:t>
            </w:r>
          </w:p>
        </w:tc>
        <w:tc>
          <w:tcPr>
            <w:tcW w:w="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5"/>
              </w:rPr>
              <w:t>3.7%</w:t>
            </w: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7.6%</w:t>
            </w: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5"/>
              </w:rPr>
              <w:t>4/9/2027</w:t>
            </w: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75%</w:t>
            </w: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1"/>
              </w:rPr>
              <w:t>3</w:t>
            </w:r>
          </w:p>
        </w:tc>
      </w:tr>
      <w:tr>
        <w:trPr>
          <w:trHeight w:val="173"/>
        </w:trPr>
        <w:tc>
          <w:tcPr>
            <w:tcW w:w="9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Loan 47</w:t>
            </w:r>
          </w:p>
        </w:tc>
        <w:tc>
          <w:tcPr>
            <w:tcW w:w="88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Senior</w:t>
            </w:r>
          </w:p>
        </w:tc>
        <w:tc>
          <w:tcPr>
            <w:tcW w:w="88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8"/>
              </w:rPr>
              <w:t>11/4/2021</w:t>
            </w:r>
          </w:p>
        </w:tc>
        <w:tc>
          <w:tcPr>
            <w:tcW w:w="100" w:type="dxa"/>
            <w:vAlign w:val="bottom"/>
          </w:tcPr>
          <w:p>
            <w:pPr>
              <w:spacing w:after="0"/>
              <w:rPr>
                <w:sz w:val="15"/>
                <w:szCs w:val="15"/>
                <w:color w:val="auto"/>
              </w:rPr>
            </w:pPr>
          </w:p>
        </w:tc>
        <w:tc>
          <w:tcPr>
            <w:tcW w:w="146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Austin, TX</w:t>
            </w:r>
          </w:p>
        </w:tc>
        <w:tc>
          <w:tcPr>
            <w:tcW w:w="12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23,590</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23,529</w:t>
            </w:r>
          </w:p>
        </w:tc>
        <w:tc>
          <w:tcPr>
            <w:tcW w:w="80" w:type="dxa"/>
            <w:vAlign w:val="bottom"/>
          </w:tcPr>
          <w:p>
            <w:pPr>
              <w:spacing w:after="0"/>
              <w:rPr>
                <w:sz w:val="15"/>
                <w:szCs w:val="15"/>
                <w:color w:val="auto"/>
              </w:rPr>
            </w:pPr>
          </w:p>
        </w:tc>
        <w:tc>
          <w:tcPr>
            <w:tcW w:w="80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color w:val="auto"/>
                <w:w w:val="96"/>
              </w:rPr>
              <w:t>Floating</w:t>
            </w:r>
          </w:p>
        </w:tc>
        <w:tc>
          <w:tcPr>
            <w:tcW w:w="78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5"/>
              </w:rPr>
              <w:t>3.4%</w:t>
            </w:r>
          </w:p>
        </w:tc>
        <w:tc>
          <w:tcPr>
            <w:tcW w:w="100" w:type="dxa"/>
            <w:vAlign w:val="bottom"/>
          </w:tcPr>
          <w:p>
            <w:pPr>
              <w:spacing w:after="0"/>
              <w:rPr>
                <w:sz w:val="15"/>
                <w:szCs w:val="15"/>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7.3%</w:t>
            </w:r>
          </w:p>
        </w:tc>
        <w:tc>
          <w:tcPr>
            <w:tcW w:w="100" w:type="dxa"/>
            <w:vAlign w:val="bottom"/>
          </w:tcPr>
          <w:p>
            <w:pPr>
              <w:spacing w:after="0"/>
              <w:rPr>
                <w:sz w:val="15"/>
                <w:szCs w:val="15"/>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8"/>
              </w:rPr>
              <w:t>11/9/2026</w:t>
            </w:r>
          </w:p>
        </w:tc>
        <w:tc>
          <w:tcPr>
            <w:tcW w:w="100" w:type="dxa"/>
            <w:vAlign w:val="bottom"/>
          </w:tcPr>
          <w:p>
            <w:pPr>
              <w:spacing w:after="0"/>
              <w:rPr>
                <w:sz w:val="15"/>
                <w:szCs w:val="15"/>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71%</w:t>
            </w:r>
          </w:p>
        </w:tc>
        <w:tc>
          <w:tcPr>
            <w:tcW w:w="100" w:type="dxa"/>
            <w:vAlign w:val="bottom"/>
          </w:tcPr>
          <w:p>
            <w:pPr>
              <w:spacing w:after="0"/>
              <w:rPr>
                <w:sz w:val="15"/>
                <w:szCs w:val="15"/>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1"/>
              </w:rPr>
              <w:t>4</w:t>
            </w:r>
          </w:p>
        </w:tc>
      </w:tr>
    </w:tbl>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9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w w:val="98"/>
              </w:rPr>
              <w:t>Origination</w:t>
            </w:r>
          </w:p>
        </w:tc>
        <w:tc>
          <w:tcPr>
            <w:tcW w:w="1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gridSpan w:val="2"/>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w w:val="97"/>
              </w:rPr>
              <w:t>Carrying</w:t>
            </w:r>
          </w:p>
        </w:tc>
        <w:tc>
          <w:tcPr>
            <w:tcW w:w="88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w w:val="97"/>
              </w:rPr>
              <w:t>Principal</w:t>
            </w:r>
          </w:p>
        </w:tc>
        <w:tc>
          <w:tcPr>
            <w:tcW w:w="800" w:type="dxa"/>
            <w:vAlign w:val="bottom"/>
            <w:gridSpan w:val="2"/>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w w:val="99"/>
              </w:rPr>
              <w:t>Coupon</w:t>
            </w:r>
          </w:p>
        </w:tc>
        <w:tc>
          <w:tcPr>
            <w:tcW w:w="880" w:type="dxa"/>
            <w:vAlign w:val="bottom"/>
            <w:gridSpan w:val="2"/>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w w:val="99"/>
              </w:rPr>
              <w:t>Cash</w:t>
            </w:r>
          </w:p>
        </w:tc>
        <w:tc>
          <w:tcPr>
            <w:tcW w:w="90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w w:val="96"/>
              </w:rPr>
              <w:t>Unlevered all-</w:t>
            </w:r>
          </w:p>
        </w:tc>
        <w:tc>
          <w:tcPr>
            <w:tcW w:w="90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w w:val="98"/>
              </w:rPr>
              <w:t>Extended</w:t>
            </w:r>
          </w:p>
        </w:tc>
        <w:tc>
          <w:tcPr>
            <w:tcW w:w="94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w w:val="99"/>
              </w:rPr>
              <w:t>Loan-to-</w:t>
            </w:r>
          </w:p>
        </w:tc>
        <w:tc>
          <w:tcPr>
            <w:tcW w:w="84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Q3 Risk</w:t>
            </w:r>
          </w:p>
        </w:tc>
      </w:tr>
      <w:tr>
        <w:trPr>
          <w:trHeight w:val="189"/>
        </w:trPr>
        <w:tc>
          <w:tcPr>
            <w:tcW w:w="900" w:type="dxa"/>
            <w:vAlign w:val="bottom"/>
          </w:tcPr>
          <w:p>
            <w:pPr>
              <w:spacing w:after="0"/>
              <w:rPr>
                <w:sz w:val="16"/>
                <w:szCs w:val="16"/>
                <w:color w:val="auto"/>
              </w:rPr>
            </w:pPr>
          </w:p>
        </w:tc>
        <w:tc>
          <w:tcPr>
            <w:tcW w:w="880" w:type="dxa"/>
            <w:vAlign w:val="bottom"/>
            <w:gridSpan w:val="2"/>
          </w:tcPr>
          <w:p>
            <w:pPr>
              <w:ind w:left="100"/>
              <w:spacing w:after="0"/>
              <w:rPr>
                <w:sz w:val="20"/>
                <w:szCs w:val="20"/>
                <w:color w:val="auto"/>
              </w:rPr>
            </w:pPr>
            <w:r>
              <w:rPr>
                <w:rFonts w:ascii="Times New Roman" w:cs="Times New Roman" w:eastAsia="Times New Roman" w:hAnsi="Times New Roman"/>
                <w:sz w:val="13"/>
                <w:szCs w:val="13"/>
                <w:b w:val="1"/>
                <w:bCs w:val="1"/>
                <w:color w:val="auto"/>
              </w:rPr>
              <w:t>Loan Type</w:t>
            </w:r>
          </w:p>
        </w:tc>
        <w:tc>
          <w:tcPr>
            <w:tcW w:w="98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w w:val="92"/>
              </w:rPr>
              <w:t>Date</w:t>
            </w:r>
          </w:p>
        </w:tc>
        <w:tc>
          <w:tcPr>
            <w:tcW w:w="1440" w:type="dxa"/>
            <w:vAlign w:val="bottom"/>
            <w:gridSpan w:val="2"/>
          </w:tcPr>
          <w:p>
            <w:pPr>
              <w:ind w:left="400"/>
              <w:spacing w:after="0"/>
              <w:rPr>
                <w:sz w:val="20"/>
                <w:szCs w:val="20"/>
                <w:color w:val="auto"/>
              </w:rPr>
            </w:pPr>
            <w:r>
              <w:rPr>
                <w:rFonts w:ascii="Times New Roman" w:cs="Times New Roman" w:eastAsia="Times New Roman" w:hAnsi="Times New Roman"/>
                <w:sz w:val="13"/>
                <w:szCs w:val="13"/>
                <w:b w:val="1"/>
                <w:bCs w:val="1"/>
                <w:color w:val="auto"/>
              </w:rPr>
              <w:t>City, State</w:t>
            </w:r>
          </w:p>
        </w:tc>
        <w:tc>
          <w:tcPr>
            <w:tcW w:w="900" w:type="dxa"/>
            <w:vAlign w:val="bottom"/>
            <w:gridSpan w:val="2"/>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w w:val="90"/>
              </w:rPr>
              <w:t>value</w:t>
            </w:r>
            <w:r>
              <w:rPr>
                <w:rFonts w:ascii="Times New Roman" w:cs="Times New Roman" w:eastAsia="Times New Roman" w:hAnsi="Times New Roman"/>
                <w:sz w:val="16"/>
                <w:szCs w:val="16"/>
                <w:b w:val="1"/>
                <w:bCs w:val="1"/>
                <w:color w:val="auto"/>
                <w:w w:val="90"/>
                <w:vertAlign w:val="superscript"/>
              </w:rPr>
              <w:t>(1)</w:t>
            </w:r>
          </w:p>
        </w:tc>
        <w:tc>
          <w:tcPr>
            <w:tcW w:w="88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w w:val="98"/>
              </w:rPr>
              <w:t>balance</w:t>
            </w:r>
          </w:p>
        </w:tc>
        <w:tc>
          <w:tcPr>
            <w:tcW w:w="800" w:type="dxa"/>
            <w:vAlign w:val="bottom"/>
            <w:gridSpan w:val="2"/>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rPr>
              <w:t>type</w:t>
            </w:r>
          </w:p>
        </w:tc>
        <w:tc>
          <w:tcPr>
            <w:tcW w:w="880" w:type="dxa"/>
            <w:vAlign w:val="bottom"/>
            <w:gridSpan w:val="2"/>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w w:val="91"/>
              </w:rPr>
              <w:t>Coupon</w:t>
            </w:r>
            <w:r>
              <w:rPr>
                <w:rFonts w:ascii="Times New Roman" w:cs="Times New Roman" w:eastAsia="Times New Roman" w:hAnsi="Times New Roman"/>
                <w:sz w:val="16"/>
                <w:szCs w:val="16"/>
                <w:b w:val="1"/>
                <w:bCs w:val="1"/>
                <w:color w:val="auto"/>
                <w:w w:val="91"/>
                <w:vertAlign w:val="superscript"/>
              </w:rPr>
              <w:t>(2)</w:t>
            </w:r>
          </w:p>
        </w:tc>
        <w:tc>
          <w:tcPr>
            <w:tcW w:w="90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w w:val="90"/>
              </w:rPr>
              <w:t>in yield</w:t>
            </w:r>
            <w:r>
              <w:rPr>
                <w:rFonts w:ascii="Times New Roman" w:cs="Times New Roman" w:eastAsia="Times New Roman" w:hAnsi="Times New Roman"/>
                <w:sz w:val="16"/>
                <w:szCs w:val="16"/>
                <w:b w:val="1"/>
                <w:bCs w:val="1"/>
                <w:color w:val="auto"/>
                <w:w w:val="90"/>
                <w:vertAlign w:val="superscript"/>
              </w:rPr>
              <w:t>(3)</w:t>
            </w:r>
          </w:p>
        </w:tc>
        <w:tc>
          <w:tcPr>
            <w:tcW w:w="900" w:type="dxa"/>
            <w:vAlign w:val="bottom"/>
            <w:gridSpan w:val="2"/>
          </w:tcPr>
          <w:p>
            <w:pPr>
              <w:jc w:val="center"/>
              <w:ind w:right="120"/>
              <w:spacing w:after="0"/>
              <w:rPr>
                <w:sz w:val="20"/>
                <w:szCs w:val="20"/>
                <w:color w:val="auto"/>
              </w:rPr>
            </w:pPr>
            <w:r>
              <w:rPr>
                <w:rFonts w:ascii="Times New Roman" w:cs="Times New Roman" w:eastAsia="Times New Roman" w:hAnsi="Times New Roman"/>
                <w:sz w:val="13"/>
                <w:szCs w:val="13"/>
                <w:b w:val="1"/>
                <w:bCs w:val="1"/>
                <w:color w:val="auto"/>
                <w:w w:val="97"/>
              </w:rPr>
              <w:t>maturity date</w:t>
            </w:r>
          </w:p>
        </w:tc>
        <w:tc>
          <w:tcPr>
            <w:tcW w:w="940" w:type="dxa"/>
            <w:vAlign w:val="bottom"/>
            <w:gridSpan w:val="2"/>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w w:val="90"/>
              </w:rPr>
              <w:t>value</w:t>
            </w:r>
            <w:r>
              <w:rPr>
                <w:rFonts w:ascii="Times New Roman" w:cs="Times New Roman" w:eastAsia="Times New Roman" w:hAnsi="Times New Roman"/>
                <w:sz w:val="16"/>
                <w:szCs w:val="16"/>
                <w:b w:val="1"/>
                <w:bCs w:val="1"/>
                <w:color w:val="auto"/>
                <w:w w:val="90"/>
                <w:vertAlign w:val="superscript"/>
              </w:rPr>
              <w:t>(4)</w:t>
            </w:r>
          </w:p>
        </w:tc>
        <w:tc>
          <w:tcPr>
            <w:tcW w:w="84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1"/>
              </w:rPr>
              <w:t>ranking</w:t>
            </w:r>
            <w:r>
              <w:rPr>
                <w:rFonts w:ascii="Times New Roman" w:cs="Times New Roman" w:eastAsia="Times New Roman" w:hAnsi="Times New Roman"/>
                <w:sz w:val="16"/>
                <w:szCs w:val="16"/>
                <w:b w:val="1"/>
                <w:bCs w:val="1"/>
                <w:color w:val="auto"/>
                <w:w w:val="91"/>
                <w:vertAlign w:val="superscript"/>
              </w:rPr>
              <w:t>(5)</w:t>
            </w:r>
          </w:p>
        </w:tc>
      </w:tr>
      <w:tr>
        <w:trPr>
          <w:trHeight w:val="88"/>
        </w:trPr>
        <w:tc>
          <w:tcPr>
            <w:tcW w:w="900" w:type="dxa"/>
            <w:vAlign w:val="bottom"/>
          </w:tcPr>
          <w:p>
            <w:pPr>
              <w:spacing w:after="0"/>
              <w:rPr>
                <w:sz w:val="7"/>
                <w:szCs w:val="7"/>
                <w:color w:val="auto"/>
              </w:rPr>
            </w:pPr>
          </w:p>
        </w:tc>
        <w:tc>
          <w:tcPr>
            <w:tcW w:w="780" w:type="dxa"/>
            <w:vAlign w:val="bottom"/>
            <w:tcBorders>
              <w:top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880" w:type="dxa"/>
            <w:vAlign w:val="bottom"/>
            <w:tcBorders>
              <w:top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1360" w:type="dxa"/>
            <w:vAlign w:val="bottom"/>
            <w:tcBorders>
              <w:top w:val="single" w:sz="8" w:color="auto"/>
            </w:tcBorders>
          </w:tcPr>
          <w:p>
            <w:pPr>
              <w:spacing w:after="0"/>
              <w:rPr>
                <w:sz w:val="7"/>
                <w:szCs w:val="7"/>
                <w:color w:val="auto"/>
              </w:rPr>
            </w:pPr>
          </w:p>
        </w:tc>
        <w:tc>
          <w:tcPr>
            <w:tcW w:w="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80" w:type="dxa"/>
            <w:vAlign w:val="bottom"/>
          </w:tcPr>
          <w:p>
            <w:pPr>
              <w:spacing w:after="0"/>
              <w:rPr>
                <w:sz w:val="7"/>
                <w:szCs w:val="7"/>
                <w:color w:val="auto"/>
              </w:rPr>
            </w:pPr>
          </w:p>
        </w:tc>
        <w:tc>
          <w:tcPr>
            <w:tcW w:w="720" w:type="dxa"/>
            <w:vAlign w:val="bottom"/>
            <w:tcBorders>
              <w:top w:val="single" w:sz="8" w:color="auto"/>
            </w:tcBorders>
          </w:tcPr>
          <w:p>
            <w:pPr>
              <w:spacing w:after="0"/>
              <w:rPr>
                <w:sz w:val="7"/>
                <w:szCs w:val="7"/>
                <w:color w:val="auto"/>
              </w:rPr>
            </w:pPr>
          </w:p>
        </w:tc>
        <w:tc>
          <w:tcPr>
            <w:tcW w:w="80" w:type="dxa"/>
            <w:vAlign w:val="bottom"/>
          </w:tcPr>
          <w:p>
            <w:pPr>
              <w:spacing w:after="0"/>
              <w:rPr>
                <w:sz w:val="7"/>
                <w:szCs w:val="7"/>
                <w:color w:val="auto"/>
              </w:rPr>
            </w:pPr>
          </w:p>
        </w:tc>
        <w:tc>
          <w:tcPr>
            <w:tcW w:w="780" w:type="dxa"/>
            <w:vAlign w:val="bottom"/>
            <w:tcBorders>
              <w:top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840" w:type="dxa"/>
            <w:vAlign w:val="bottom"/>
            <w:tcBorders>
              <w:top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840" w:type="dxa"/>
            <w:vAlign w:val="bottom"/>
            <w:tcBorders>
              <w:top w:val="single" w:sz="8" w:color="auto"/>
            </w:tcBorders>
          </w:tcPr>
          <w:p>
            <w:pPr>
              <w:spacing w:after="0"/>
              <w:rPr>
                <w:sz w:val="7"/>
                <w:szCs w:val="7"/>
                <w:color w:val="auto"/>
              </w:rPr>
            </w:pPr>
          </w:p>
        </w:tc>
      </w:tr>
      <w:tr>
        <w:trPr>
          <w:trHeight w:val="189"/>
        </w:trPr>
        <w:tc>
          <w:tcPr>
            <w:tcW w:w="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Loan 48</w:t>
            </w:r>
          </w:p>
        </w:tc>
        <w:tc>
          <w:tcPr>
            <w:tcW w:w="8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Senior</w:t>
            </w:r>
          </w:p>
        </w:tc>
        <w:tc>
          <w:tcPr>
            <w:tcW w:w="8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4"/>
              </w:rPr>
              <w:t>12/10/2024</w:t>
            </w:r>
          </w:p>
        </w:tc>
        <w:tc>
          <w:tcPr>
            <w:tcW w:w="100" w:type="dxa"/>
            <w:vAlign w:val="bottom"/>
            <w:shd w:val="clear" w:color="auto" w:fill="CCEEFF"/>
          </w:tcPr>
          <w:p>
            <w:pPr>
              <w:spacing w:after="0"/>
              <w:rPr>
                <w:sz w:val="16"/>
                <w:szCs w:val="16"/>
                <w:color w:val="auto"/>
              </w:rPr>
            </w:pPr>
          </w:p>
        </w:tc>
        <w:tc>
          <w:tcPr>
            <w:tcW w:w="14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Seattle, WA</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23,502</w:t>
            </w: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23,534</w:t>
            </w:r>
          </w:p>
        </w:tc>
        <w:tc>
          <w:tcPr>
            <w:tcW w:w="8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3"/>
                <w:szCs w:val="13"/>
                <w:color w:val="auto"/>
                <w:w w:val="96"/>
              </w:rPr>
              <w:t>Floating</w:t>
            </w:r>
          </w:p>
        </w:tc>
        <w:tc>
          <w:tcPr>
            <w:tcW w:w="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5"/>
              </w:rPr>
              <w:t>2.8%</w:t>
            </w: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7.1%</w:t>
            </w: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5"/>
              </w:rPr>
              <w:t>1/9/2030</w:t>
            </w: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65%</w:t>
            </w: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1"/>
              </w:rPr>
              <w:t>3</w:t>
            </w:r>
          </w:p>
        </w:tc>
      </w:tr>
      <w:tr>
        <w:trPr>
          <w:trHeight w:val="181"/>
        </w:trPr>
        <w:tc>
          <w:tcPr>
            <w:tcW w:w="9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Loan 49</w:t>
            </w:r>
          </w:p>
        </w:tc>
        <w:tc>
          <w:tcPr>
            <w:tcW w:w="88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Senior</w:t>
            </w:r>
          </w:p>
        </w:tc>
        <w:tc>
          <w:tcPr>
            <w:tcW w:w="88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8"/>
              </w:rPr>
              <w:t>8/14/2025</w:t>
            </w:r>
          </w:p>
        </w:tc>
        <w:tc>
          <w:tcPr>
            <w:tcW w:w="100" w:type="dxa"/>
            <w:vAlign w:val="bottom"/>
          </w:tcPr>
          <w:p>
            <w:pPr>
              <w:spacing w:after="0"/>
              <w:rPr>
                <w:sz w:val="15"/>
                <w:szCs w:val="15"/>
                <w:color w:val="auto"/>
              </w:rPr>
            </w:pPr>
          </w:p>
        </w:tc>
        <w:tc>
          <w:tcPr>
            <w:tcW w:w="144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Dallas, TX</w:t>
            </w: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22,556</w:t>
            </w:r>
          </w:p>
        </w:tc>
        <w:tc>
          <w:tcPr>
            <w:tcW w:w="10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22,676</w:t>
            </w:r>
          </w:p>
        </w:tc>
        <w:tc>
          <w:tcPr>
            <w:tcW w:w="80" w:type="dxa"/>
            <w:vAlign w:val="bottom"/>
          </w:tcPr>
          <w:p>
            <w:pPr>
              <w:spacing w:after="0"/>
              <w:rPr>
                <w:sz w:val="15"/>
                <w:szCs w:val="15"/>
                <w:color w:val="auto"/>
              </w:rPr>
            </w:pPr>
          </w:p>
        </w:tc>
        <w:tc>
          <w:tcPr>
            <w:tcW w:w="80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color w:val="auto"/>
                <w:w w:val="96"/>
              </w:rPr>
              <w:t>Floating</w:t>
            </w:r>
          </w:p>
        </w:tc>
        <w:tc>
          <w:tcPr>
            <w:tcW w:w="78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5"/>
              </w:rPr>
              <w:t>3.0%</w:t>
            </w:r>
          </w:p>
        </w:tc>
        <w:tc>
          <w:tcPr>
            <w:tcW w:w="100" w:type="dxa"/>
            <w:vAlign w:val="bottom"/>
          </w:tcPr>
          <w:p>
            <w:pPr>
              <w:spacing w:after="0"/>
              <w:rPr>
                <w:sz w:val="15"/>
                <w:szCs w:val="15"/>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7.3%</w:t>
            </w:r>
          </w:p>
        </w:tc>
        <w:tc>
          <w:tcPr>
            <w:tcW w:w="100" w:type="dxa"/>
            <w:vAlign w:val="bottom"/>
          </w:tcPr>
          <w:p>
            <w:pPr>
              <w:spacing w:after="0"/>
              <w:rPr>
                <w:sz w:val="15"/>
                <w:szCs w:val="15"/>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5"/>
              </w:rPr>
              <w:t>9/9/2030</w:t>
            </w:r>
          </w:p>
        </w:tc>
        <w:tc>
          <w:tcPr>
            <w:tcW w:w="100" w:type="dxa"/>
            <w:vAlign w:val="bottom"/>
          </w:tcPr>
          <w:p>
            <w:pPr>
              <w:spacing w:after="0"/>
              <w:rPr>
                <w:sz w:val="15"/>
                <w:szCs w:val="15"/>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59%</w:t>
            </w:r>
          </w:p>
        </w:tc>
        <w:tc>
          <w:tcPr>
            <w:tcW w:w="100" w:type="dxa"/>
            <w:vAlign w:val="bottom"/>
          </w:tcPr>
          <w:p>
            <w:pPr>
              <w:spacing w:after="0"/>
              <w:rPr>
                <w:sz w:val="15"/>
                <w:szCs w:val="15"/>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1"/>
              </w:rPr>
              <w:t>3</w:t>
            </w:r>
          </w:p>
        </w:tc>
      </w:tr>
      <w:tr>
        <w:trPr>
          <w:trHeight w:val="197"/>
        </w:trPr>
        <w:tc>
          <w:tcPr>
            <w:tcW w:w="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Loan 50</w:t>
            </w:r>
          </w:p>
        </w:tc>
        <w:tc>
          <w:tcPr>
            <w:tcW w:w="8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Senior</w:t>
            </w:r>
          </w:p>
        </w:tc>
        <w:tc>
          <w:tcPr>
            <w:tcW w:w="8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8"/>
              </w:rPr>
              <w:t>6/22/2021</w:t>
            </w:r>
          </w:p>
        </w:tc>
        <w:tc>
          <w:tcPr>
            <w:tcW w:w="100" w:type="dxa"/>
            <w:vAlign w:val="bottom"/>
            <w:shd w:val="clear" w:color="auto" w:fill="CCEEFF"/>
          </w:tcPr>
          <w:p>
            <w:pPr>
              <w:spacing w:after="0"/>
              <w:rPr>
                <w:sz w:val="17"/>
                <w:szCs w:val="17"/>
                <w:color w:val="auto"/>
              </w:rPr>
            </w:pPr>
          </w:p>
        </w:tc>
        <w:tc>
          <w:tcPr>
            <w:tcW w:w="14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Phoenix, AZ</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22,292</w:t>
            </w: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22,292</w:t>
            </w:r>
          </w:p>
        </w:tc>
        <w:tc>
          <w:tcPr>
            <w:tcW w:w="8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3"/>
                <w:szCs w:val="13"/>
                <w:color w:val="auto"/>
                <w:w w:val="96"/>
              </w:rPr>
              <w:t>Floating</w:t>
            </w:r>
          </w:p>
        </w:tc>
        <w:tc>
          <w:tcPr>
            <w:tcW w:w="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5"/>
              </w:rPr>
              <w:t>3.3%</w:t>
            </w: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7.2%</w:t>
            </w: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5"/>
              </w:rPr>
              <w:t>1/9/2027</w:t>
            </w: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75%</w:t>
            </w: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1"/>
              </w:rPr>
              <w:t>3</w:t>
            </w:r>
          </w:p>
        </w:tc>
      </w:tr>
      <w:tr>
        <w:trPr>
          <w:trHeight w:val="181"/>
        </w:trPr>
        <w:tc>
          <w:tcPr>
            <w:tcW w:w="9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Loan 51</w:t>
            </w:r>
          </w:p>
        </w:tc>
        <w:tc>
          <w:tcPr>
            <w:tcW w:w="88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Senior</w:t>
            </w:r>
          </w:p>
        </w:tc>
        <w:tc>
          <w:tcPr>
            <w:tcW w:w="88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5"/>
              </w:rPr>
              <w:t>5/8/2026</w:t>
            </w:r>
          </w:p>
        </w:tc>
        <w:tc>
          <w:tcPr>
            <w:tcW w:w="100" w:type="dxa"/>
            <w:vAlign w:val="bottom"/>
          </w:tcPr>
          <w:p>
            <w:pPr>
              <w:spacing w:after="0"/>
              <w:rPr>
                <w:sz w:val="15"/>
                <w:szCs w:val="15"/>
                <w:color w:val="auto"/>
              </w:rPr>
            </w:pPr>
          </w:p>
        </w:tc>
        <w:tc>
          <w:tcPr>
            <w:tcW w:w="144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Dallas, TX</w:t>
            </w: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21,833</w:t>
            </w:r>
          </w:p>
        </w:tc>
        <w:tc>
          <w:tcPr>
            <w:tcW w:w="10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22,050</w:t>
            </w:r>
          </w:p>
        </w:tc>
        <w:tc>
          <w:tcPr>
            <w:tcW w:w="80" w:type="dxa"/>
            <w:vAlign w:val="bottom"/>
          </w:tcPr>
          <w:p>
            <w:pPr>
              <w:spacing w:after="0"/>
              <w:rPr>
                <w:sz w:val="15"/>
                <w:szCs w:val="15"/>
                <w:color w:val="auto"/>
              </w:rPr>
            </w:pPr>
          </w:p>
        </w:tc>
        <w:tc>
          <w:tcPr>
            <w:tcW w:w="80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color w:val="auto"/>
                <w:w w:val="96"/>
              </w:rPr>
              <w:t>Floating</w:t>
            </w:r>
          </w:p>
        </w:tc>
        <w:tc>
          <w:tcPr>
            <w:tcW w:w="78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5"/>
              </w:rPr>
              <w:t>2.4%</w:t>
            </w:r>
          </w:p>
        </w:tc>
        <w:tc>
          <w:tcPr>
            <w:tcW w:w="100" w:type="dxa"/>
            <w:vAlign w:val="bottom"/>
          </w:tcPr>
          <w:p>
            <w:pPr>
              <w:spacing w:after="0"/>
              <w:rPr>
                <w:sz w:val="15"/>
                <w:szCs w:val="15"/>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6.6%</w:t>
            </w:r>
          </w:p>
        </w:tc>
        <w:tc>
          <w:tcPr>
            <w:tcW w:w="100" w:type="dxa"/>
            <w:vAlign w:val="bottom"/>
          </w:tcPr>
          <w:p>
            <w:pPr>
              <w:spacing w:after="0"/>
              <w:rPr>
                <w:sz w:val="15"/>
                <w:szCs w:val="15"/>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5"/>
              </w:rPr>
              <w:t>5/9/2031</w:t>
            </w:r>
          </w:p>
        </w:tc>
        <w:tc>
          <w:tcPr>
            <w:tcW w:w="100" w:type="dxa"/>
            <w:vAlign w:val="bottom"/>
          </w:tcPr>
          <w:p>
            <w:pPr>
              <w:spacing w:after="0"/>
              <w:rPr>
                <w:sz w:val="15"/>
                <w:szCs w:val="15"/>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69%</w:t>
            </w:r>
          </w:p>
        </w:tc>
        <w:tc>
          <w:tcPr>
            <w:tcW w:w="100" w:type="dxa"/>
            <w:vAlign w:val="bottom"/>
          </w:tcPr>
          <w:p>
            <w:pPr>
              <w:spacing w:after="0"/>
              <w:rPr>
                <w:sz w:val="15"/>
                <w:szCs w:val="15"/>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1"/>
              </w:rPr>
              <w:t>3</w:t>
            </w:r>
          </w:p>
        </w:tc>
      </w:tr>
      <w:tr>
        <w:trPr>
          <w:trHeight w:val="197"/>
        </w:trPr>
        <w:tc>
          <w:tcPr>
            <w:tcW w:w="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Loan 52</w:t>
            </w:r>
          </w:p>
        </w:tc>
        <w:tc>
          <w:tcPr>
            <w:tcW w:w="8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Senior</w:t>
            </w:r>
          </w:p>
        </w:tc>
        <w:tc>
          <w:tcPr>
            <w:tcW w:w="8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4"/>
              </w:rPr>
              <w:t>12/19/2025</w:t>
            </w:r>
          </w:p>
        </w:tc>
        <w:tc>
          <w:tcPr>
            <w:tcW w:w="100" w:type="dxa"/>
            <w:vAlign w:val="bottom"/>
            <w:shd w:val="clear" w:color="auto" w:fill="CCEEFF"/>
          </w:tcPr>
          <w:p>
            <w:pPr>
              <w:spacing w:after="0"/>
              <w:rPr>
                <w:sz w:val="17"/>
                <w:szCs w:val="17"/>
                <w:color w:val="auto"/>
              </w:rPr>
            </w:pPr>
          </w:p>
        </w:tc>
        <w:tc>
          <w:tcPr>
            <w:tcW w:w="14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Shakopee, MN</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21,361</w:t>
            </w: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21,500</w:t>
            </w:r>
          </w:p>
        </w:tc>
        <w:tc>
          <w:tcPr>
            <w:tcW w:w="8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3"/>
                <w:szCs w:val="13"/>
                <w:color w:val="auto"/>
                <w:w w:val="96"/>
              </w:rPr>
              <w:t>Floating</w:t>
            </w:r>
          </w:p>
        </w:tc>
        <w:tc>
          <w:tcPr>
            <w:tcW w:w="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5"/>
              </w:rPr>
              <w:t>2.5%</w:t>
            </w: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6.9%</w:t>
            </w: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5"/>
              </w:rPr>
              <w:t>1/9/2031</w:t>
            </w: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65%</w:t>
            </w: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1"/>
              </w:rPr>
              <w:t>3</w:t>
            </w:r>
          </w:p>
        </w:tc>
      </w:tr>
      <w:tr>
        <w:trPr>
          <w:trHeight w:val="181"/>
        </w:trPr>
        <w:tc>
          <w:tcPr>
            <w:tcW w:w="9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Loan 53</w:t>
            </w:r>
          </w:p>
        </w:tc>
        <w:tc>
          <w:tcPr>
            <w:tcW w:w="88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Senior</w:t>
            </w:r>
          </w:p>
        </w:tc>
        <w:tc>
          <w:tcPr>
            <w:tcW w:w="88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5"/>
              </w:rPr>
              <w:t>7/1/2021</w:t>
            </w:r>
          </w:p>
        </w:tc>
        <w:tc>
          <w:tcPr>
            <w:tcW w:w="100" w:type="dxa"/>
            <w:vAlign w:val="bottom"/>
          </w:tcPr>
          <w:p>
            <w:pPr>
              <w:spacing w:after="0"/>
              <w:rPr>
                <w:sz w:val="15"/>
                <w:szCs w:val="15"/>
                <w:color w:val="auto"/>
              </w:rPr>
            </w:pPr>
          </w:p>
        </w:tc>
        <w:tc>
          <w:tcPr>
            <w:tcW w:w="144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Aurora, CO</w:t>
            </w: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21,342</w:t>
            </w:r>
          </w:p>
        </w:tc>
        <w:tc>
          <w:tcPr>
            <w:tcW w:w="10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21,305</w:t>
            </w:r>
          </w:p>
        </w:tc>
        <w:tc>
          <w:tcPr>
            <w:tcW w:w="80" w:type="dxa"/>
            <w:vAlign w:val="bottom"/>
          </w:tcPr>
          <w:p>
            <w:pPr>
              <w:spacing w:after="0"/>
              <w:rPr>
                <w:sz w:val="15"/>
                <w:szCs w:val="15"/>
                <w:color w:val="auto"/>
              </w:rPr>
            </w:pPr>
          </w:p>
        </w:tc>
        <w:tc>
          <w:tcPr>
            <w:tcW w:w="80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color w:val="auto"/>
                <w:w w:val="96"/>
              </w:rPr>
              <w:t>Floating</w:t>
            </w:r>
          </w:p>
        </w:tc>
        <w:tc>
          <w:tcPr>
            <w:tcW w:w="78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5"/>
              </w:rPr>
              <w:t>3.2%</w:t>
            </w:r>
          </w:p>
        </w:tc>
        <w:tc>
          <w:tcPr>
            <w:tcW w:w="100" w:type="dxa"/>
            <w:vAlign w:val="bottom"/>
          </w:tcPr>
          <w:p>
            <w:pPr>
              <w:spacing w:after="0"/>
              <w:rPr>
                <w:sz w:val="15"/>
                <w:szCs w:val="15"/>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7.1%</w:t>
            </w:r>
          </w:p>
        </w:tc>
        <w:tc>
          <w:tcPr>
            <w:tcW w:w="100" w:type="dxa"/>
            <w:vAlign w:val="bottom"/>
          </w:tcPr>
          <w:p>
            <w:pPr>
              <w:spacing w:after="0"/>
              <w:rPr>
                <w:sz w:val="15"/>
                <w:szCs w:val="15"/>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5"/>
              </w:rPr>
              <w:t>7/9/2028</w:t>
            </w:r>
          </w:p>
        </w:tc>
        <w:tc>
          <w:tcPr>
            <w:tcW w:w="100" w:type="dxa"/>
            <w:vAlign w:val="bottom"/>
          </w:tcPr>
          <w:p>
            <w:pPr>
              <w:spacing w:after="0"/>
              <w:rPr>
                <w:sz w:val="15"/>
                <w:szCs w:val="15"/>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73%</w:t>
            </w:r>
          </w:p>
        </w:tc>
        <w:tc>
          <w:tcPr>
            <w:tcW w:w="100" w:type="dxa"/>
            <w:vAlign w:val="bottom"/>
          </w:tcPr>
          <w:p>
            <w:pPr>
              <w:spacing w:after="0"/>
              <w:rPr>
                <w:sz w:val="15"/>
                <w:szCs w:val="15"/>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1"/>
              </w:rPr>
              <w:t>3</w:t>
            </w:r>
          </w:p>
        </w:tc>
      </w:tr>
      <w:tr>
        <w:trPr>
          <w:trHeight w:val="197"/>
        </w:trPr>
        <w:tc>
          <w:tcPr>
            <w:tcW w:w="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Loan 54</w:t>
            </w:r>
          </w:p>
        </w:tc>
        <w:tc>
          <w:tcPr>
            <w:tcW w:w="8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Senior</w:t>
            </w:r>
          </w:p>
        </w:tc>
        <w:tc>
          <w:tcPr>
            <w:tcW w:w="8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4"/>
              </w:rPr>
              <w:t>10/18/2024</w:t>
            </w:r>
          </w:p>
        </w:tc>
        <w:tc>
          <w:tcPr>
            <w:tcW w:w="100" w:type="dxa"/>
            <w:vAlign w:val="bottom"/>
            <w:shd w:val="clear" w:color="auto" w:fill="CCEEFF"/>
          </w:tcPr>
          <w:p>
            <w:pPr>
              <w:spacing w:after="0"/>
              <w:rPr>
                <w:sz w:val="17"/>
                <w:szCs w:val="17"/>
                <w:color w:val="auto"/>
              </w:rPr>
            </w:pPr>
          </w:p>
        </w:tc>
        <w:tc>
          <w:tcPr>
            <w:tcW w:w="14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Garland, TX</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20,690</w:t>
            </w: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20,805</w:t>
            </w:r>
          </w:p>
        </w:tc>
        <w:tc>
          <w:tcPr>
            <w:tcW w:w="8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3"/>
                <w:szCs w:val="13"/>
                <w:color w:val="auto"/>
                <w:w w:val="96"/>
              </w:rPr>
              <w:t>Floating</w:t>
            </w:r>
          </w:p>
        </w:tc>
        <w:tc>
          <w:tcPr>
            <w:tcW w:w="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5"/>
              </w:rPr>
              <w:t>3.7%</w:t>
            </w: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7.9%</w:t>
            </w: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8"/>
              </w:rPr>
              <w:t>11/9/2029</w:t>
            </w: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70%</w:t>
            </w: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1"/>
              </w:rPr>
              <w:t>3</w:t>
            </w:r>
          </w:p>
        </w:tc>
      </w:tr>
      <w:tr>
        <w:trPr>
          <w:trHeight w:val="181"/>
        </w:trPr>
        <w:tc>
          <w:tcPr>
            <w:tcW w:w="9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Loan 55</w:t>
            </w:r>
          </w:p>
        </w:tc>
        <w:tc>
          <w:tcPr>
            <w:tcW w:w="88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Senior</w:t>
            </w:r>
          </w:p>
        </w:tc>
        <w:tc>
          <w:tcPr>
            <w:tcW w:w="88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8"/>
              </w:rPr>
              <w:t>1/12/2022</w:t>
            </w:r>
          </w:p>
        </w:tc>
        <w:tc>
          <w:tcPr>
            <w:tcW w:w="100" w:type="dxa"/>
            <w:vAlign w:val="bottom"/>
          </w:tcPr>
          <w:p>
            <w:pPr>
              <w:spacing w:after="0"/>
              <w:rPr>
                <w:sz w:val="15"/>
                <w:szCs w:val="15"/>
                <w:color w:val="auto"/>
              </w:rPr>
            </w:pPr>
          </w:p>
        </w:tc>
        <w:tc>
          <w:tcPr>
            <w:tcW w:w="144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Austin, TX</w:t>
            </w: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20,403</w:t>
            </w:r>
          </w:p>
        </w:tc>
        <w:tc>
          <w:tcPr>
            <w:tcW w:w="10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20,403</w:t>
            </w:r>
          </w:p>
        </w:tc>
        <w:tc>
          <w:tcPr>
            <w:tcW w:w="80" w:type="dxa"/>
            <w:vAlign w:val="bottom"/>
          </w:tcPr>
          <w:p>
            <w:pPr>
              <w:spacing w:after="0"/>
              <w:rPr>
                <w:sz w:val="15"/>
                <w:szCs w:val="15"/>
                <w:color w:val="auto"/>
              </w:rPr>
            </w:pPr>
          </w:p>
        </w:tc>
        <w:tc>
          <w:tcPr>
            <w:tcW w:w="80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color w:val="auto"/>
                <w:w w:val="96"/>
              </w:rPr>
              <w:t>Floating</w:t>
            </w:r>
          </w:p>
        </w:tc>
        <w:tc>
          <w:tcPr>
            <w:tcW w:w="78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5"/>
              </w:rPr>
              <w:t>3.4%</w:t>
            </w:r>
          </w:p>
        </w:tc>
        <w:tc>
          <w:tcPr>
            <w:tcW w:w="100" w:type="dxa"/>
            <w:vAlign w:val="bottom"/>
          </w:tcPr>
          <w:p>
            <w:pPr>
              <w:spacing w:after="0"/>
              <w:rPr>
                <w:sz w:val="15"/>
                <w:szCs w:val="15"/>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7.3%</w:t>
            </w:r>
          </w:p>
        </w:tc>
        <w:tc>
          <w:tcPr>
            <w:tcW w:w="100" w:type="dxa"/>
            <w:vAlign w:val="bottom"/>
          </w:tcPr>
          <w:p>
            <w:pPr>
              <w:spacing w:after="0"/>
              <w:rPr>
                <w:sz w:val="15"/>
                <w:szCs w:val="15"/>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5"/>
              </w:rPr>
              <w:t>2/9/2027</w:t>
            </w:r>
          </w:p>
        </w:tc>
        <w:tc>
          <w:tcPr>
            <w:tcW w:w="100" w:type="dxa"/>
            <w:vAlign w:val="bottom"/>
          </w:tcPr>
          <w:p>
            <w:pPr>
              <w:spacing w:after="0"/>
              <w:rPr>
                <w:sz w:val="15"/>
                <w:szCs w:val="15"/>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75%</w:t>
            </w:r>
          </w:p>
        </w:tc>
        <w:tc>
          <w:tcPr>
            <w:tcW w:w="100" w:type="dxa"/>
            <w:vAlign w:val="bottom"/>
          </w:tcPr>
          <w:p>
            <w:pPr>
              <w:spacing w:after="0"/>
              <w:rPr>
                <w:sz w:val="15"/>
                <w:szCs w:val="15"/>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1"/>
              </w:rPr>
              <w:t>3</w:t>
            </w:r>
          </w:p>
        </w:tc>
      </w:tr>
      <w:tr>
        <w:trPr>
          <w:trHeight w:val="197"/>
        </w:trPr>
        <w:tc>
          <w:tcPr>
            <w:tcW w:w="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Loan 56</w:t>
            </w:r>
          </w:p>
        </w:tc>
        <w:tc>
          <w:tcPr>
            <w:tcW w:w="8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Senior</w:t>
            </w:r>
          </w:p>
        </w:tc>
        <w:tc>
          <w:tcPr>
            <w:tcW w:w="8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4"/>
              </w:rPr>
              <w:t>12/21/2021</w:t>
            </w:r>
          </w:p>
        </w:tc>
        <w:tc>
          <w:tcPr>
            <w:tcW w:w="100" w:type="dxa"/>
            <w:vAlign w:val="bottom"/>
            <w:shd w:val="clear" w:color="auto" w:fill="CCEEFF"/>
          </w:tcPr>
          <w:p>
            <w:pPr>
              <w:spacing w:after="0"/>
              <w:rPr>
                <w:sz w:val="17"/>
                <w:szCs w:val="17"/>
                <w:color w:val="auto"/>
              </w:rPr>
            </w:pPr>
          </w:p>
        </w:tc>
        <w:tc>
          <w:tcPr>
            <w:tcW w:w="14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Gresham, OR</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20,235</w:t>
            </w: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20,235</w:t>
            </w:r>
          </w:p>
        </w:tc>
        <w:tc>
          <w:tcPr>
            <w:tcW w:w="8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3"/>
                <w:szCs w:val="13"/>
                <w:color w:val="auto"/>
                <w:w w:val="96"/>
              </w:rPr>
              <w:t>Floating</w:t>
            </w:r>
          </w:p>
        </w:tc>
        <w:tc>
          <w:tcPr>
            <w:tcW w:w="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5"/>
              </w:rPr>
              <w:t>2.8%</w:t>
            </w: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6.7%</w:t>
            </w: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5"/>
              </w:rPr>
              <w:t>7/9/2028</w:t>
            </w: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74%</w:t>
            </w: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1"/>
              </w:rPr>
              <w:t>3</w:t>
            </w:r>
          </w:p>
        </w:tc>
      </w:tr>
      <w:tr>
        <w:trPr>
          <w:trHeight w:val="181"/>
        </w:trPr>
        <w:tc>
          <w:tcPr>
            <w:tcW w:w="9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Loan 57</w:t>
            </w:r>
          </w:p>
        </w:tc>
        <w:tc>
          <w:tcPr>
            <w:tcW w:w="88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Senior</w:t>
            </w:r>
          </w:p>
        </w:tc>
        <w:tc>
          <w:tcPr>
            <w:tcW w:w="88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8"/>
              </w:rPr>
              <w:t>9/10/2026</w:t>
            </w:r>
          </w:p>
        </w:tc>
        <w:tc>
          <w:tcPr>
            <w:tcW w:w="100" w:type="dxa"/>
            <w:vAlign w:val="bottom"/>
          </w:tcPr>
          <w:p>
            <w:pPr>
              <w:spacing w:after="0"/>
              <w:rPr>
                <w:sz w:val="15"/>
                <w:szCs w:val="15"/>
                <w:color w:val="auto"/>
              </w:rPr>
            </w:pPr>
          </w:p>
        </w:tc>
        <w:tc>
          <w:tcPr>
            <w:tcW w:w="144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Owings Mils, MD</w:t>
            </w: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19,878</w:t>
            </w:r>
          </w:p>
        </w:tc>
        <w:tc>
          <w:tcPr>
            <w:tcW w:w="10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20,085</w:t>
            </w:r>
          </w:p>
        </w:tc>
        <w:tc>
          <w:tcPr>
            <w:tcW w:w="80" w:type="dxa"/>
            <w:vAlign w:val="bottom"/>
          </w:tcPr>
          <w:p>
            <w:pPr>
              <w:spacing w:after="0"/>
              <w:rPr>
                <w:sz w:val="15"/>
                <w:szCs w:val="15"/>
                <w:color w:val="auto"/>
              </w:rPr>
            </w:pPr>
          </w:p>
        </w:tc>
        <w:tc>
          <w:tcPr>
            <w:tcW w:w="80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color w:val="auto"/>
                <w:w w:val="96"/>
              </w:rPr>
              <w:t>Floating</w:t>
            </w:r>
          </w:p>
        </w:tc>
        <w:tc>
          <w:tcPr>
            <w:tcW w:w="78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5"/>
              </w:rPr>
              <w:t>2.4%</w:t>
            </w:r>
          </w:p>
        </w:tc>
        <w:tc>
          <w:tcPr>
            <w:tcW w:w="100" w:type="dxa"/>
            <w:vAlign w:val="bottom"/>
          </w:tcPr>
          <w:p>
            <w:pPr>
              <w:spacing w:after="0"/>
              <w:rPr>
                <w:sz w:val="15"/>
                <w:szCs w:val="15"/>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6.6%</w:t>
            </w:r>
          </w:p>
        </w:tc>
        <w:tc>
          <w:tcPr>
            <w:tcW w:w="100" w:type="dxa"/>
            <w:vAlign w:val="bottom"/>
          </w:tcPr>
          <w:p>
            <w:pPr>
              <w:spacing w:after="0"/>
              <w:rPr>
                <w:sz w:val="15"/>
                <w:szCs w:val="15"/>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5"/>
              </w:rPr>
              <w:t>9/9/2031</w:t>
            </w:r>
          </w:p>
        </w:tc>
        <w:tc>
          <w:tcPr>
            <w:tcW w:w="100" w:type="dxa"/>
            <w:vAlign w:val="bottom"/>
          </w:tcPr>
          <w:p>
            <w:pPr>
              <w:spacing w:after="0"/>
              <w:rPr>
                <w:sz w:val="15"/>
                <w:szCs w:val="15"/>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68%</w:t>
            </w:r>
          </w:p>
        </w:tc>
        <w:tc>
          <w:tcPr>
            <w:tcW w:w="100" w:type="dxa"/>
            <w:vAlign w:val="bottom"/>
          </w:tcPr>
          <w:p>
            <w:pPr>
              <w:spacing w:after="0"/>
              <w:rPr>
                <w:sz w:val="15"/>
                <w:szCs w:val="15"/>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1"/>
              </w:rPr>
              <w:t>3</w:t>
            </w:r>
          </w:p>
        </w:tc>
      </w:tr>
      <w:tr>
        <w:trPr>
          <w:trHeight w:val="197"/>
        </w:trPr>
        <w:tc>
          <w:tcPr>
            <w:tcW w:w="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Loan 58</w:t>
            </w:r>
          </w:p>
        </w:tc>
        <w:tc>
          <w:tcPr>
            <w:tcW w:w="8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Senior</w:t>
            </w:r>
          </w:p>
        </w:tc>
        <w:tc>
          <w:tcPr>
            <w:tcW w:w="8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5"/>
              </w:rPr>
              <w:t>8/6/2021</w:t>
            </w:r>
          </w:p>
        </w:tc>
        <w:tc>
          <w:tcPr>
            <w:tcW w:w="100" w:type="dxa"/>
            <w:vAlign w:val="bottom"/>
            <w:shd w:val="clear" w:color="auto" w:fill="CCEEFF"/>
          </w:tcPr>
          <w:p>
            <w:pPr>
              <w:spacing w:after="0"/>
              <w:rPr>
                <w:sz w:val="17"/>
                <w:szCs w:val="17"/>
                <w:color w:val="auto"/>
              </w:rPr>
            </w:pPr>
          </w:p>
        </w:tc>
        <w:tc>
          <w:tcPr>
            <w:tcW w:w="14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La Mesa, CA</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19,787</w:t>
            </w: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19,787</w:t>
            </w:r>
          </w:p>
        </w:tc>
        <w:tc>
          <w:tcPr>
            <w:tcW w:w="8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3"/>
                <w:szCs w:val="13"/>
                <w:color w:val="auto"/>
                <w:w w:val="96"/>
              </w:rPr>
              <w:t>Floating</w:t>
            </w:r>
          </w:p>
        </w:tc>
        <w:tc>
          <w:tcPr>
            <w:tcW w:w="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5"/>
              </w:rPr>
              <w:t>2.8%</w:t>
            </w: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6.7%</w:t>
            </w: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5"/>
              </w:rPr>
              <w:t>8/9/2028</w:t>
            </w: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70%</w:t>
            </w: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1"/>
              </w:rPr>
              <w:t>3</w:t>
            </w:r>
          </w:p>
        </w:tc>
      </w:tr>
      <w:tr>
        <w:trPr>
          <w:trHeight w:val="181"/>
        </w:trPr>
        <w:tc>
          <w:tcPr>
            <w:tcW w:w="9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Loan 59</w:t>
            </w:r>
          </w:p>
        </w:tc>
        <w:tc>
          <w:tcPr>
            <w:tcW w:w="88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Senior</w:t>
            </w:r>
          </w:p>
        </w:tc>
        <w:tc>
          <w:tcPr>
            <w:tcW w:w="88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5"/>
              </w:rPr>
              <w:t>9/1/2021</w:t>
            </w:r>
          </w:p>
        </w:tc>
        <w:tc>
          <w:tcPr>
            <w:tcW w:w="100" w:type="dxa"/>
            <w:vAlign w:val="bottom"/>
          </w:tcPr>
          <w:p>
            <w:pPr>
              <w:spacing w:after="0"/>
              <w:rPr>
                <w:sz w:val="15"/>
                <w:szCs w:val="15"/>
                <w:color w:val="auto"/>
              </w:rPr>
            </w:pPr>
          </w:p>
        </w:tc>
        <w:tc>
          <w:tcPr>
            <w:tcW w:w="144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Bellevue, WA</w:t>
            </w: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19,308</w:t>
            </w:r>
          </w:p>
        </w:tc>
        <w:tc>
          <w:tcPr>
            <w:tcW w:w="10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19,308</w:t>
            </w:r>
          </w:p>
        </w:tc>
        <w:tc>
          <w:tcPr>
            <w:tcW w:w="80" w:type="dxa"/>
            <w:vAlign w:val="bottom"/>
          </w:tcPr>
          <w:p>
            <w:pPr>
              <w:spacing w:after="0"/>
              <w:rPr>
                <w:sz w:val="15"/>
                <w:szCs w:val="15"/>
                <w:color w:val="auto"/>
              </w:rPr>
            </w:pPr>
          </w:p>
        </w:tc>
        <w:tc>
          <w:tcPr>
            <w:tcW w:w="80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color w:val="auto"/>
                <w:w w:val="96"/>
              </w:rPr>
              <w:t>Floating</w:t>
            </w:r>
          </w:p>
        </w:tc>
        <w:tc>
          <w:tcPr>
            <w:tcW w:w="78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5"/>
              </w:rPr>
              <w:t>3.4%</w:t>
            </w:r>
          </w:p>
        </w:tc>
        <w:tc>
          <w:tcPr>
            <w:tcW w:w="100" w:type="dxa"/>
            <w:vAlign w:val="bottom"/>
          </w:tcPr>
          <w:p>
            <w:pPr>
              <w:spacing w:after="0"/>
              <w:rPr>
                <w:sz w:val="15"/>
                <w:szCs w:val="15"/>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7.3%</w:t>
            </w:r>
          </w:p>
        </w:tc>
        <w:tc>
          <w:tcPr>
            <w:tcW w:w="100" w:type="dxa"/>
            <w:vAlign w:val="bottom"/>
          </w:tcPr>
          <w:p>
            <w:pPr>
              <w:spacing w:after="0"/>
              <w:rPr>
                <w:sz w:val="15"/>
                <w:szCs w:val="15"/>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5"/>
              </w:rPr>
              <w:t>3/8/2027</w:t>
            </w:r>
          </w:p>
        </w:tc>
        <w:tc>
          <w:tcPr>
            <w:tcW w:w="100" w:type="dxa"/>
            <w:vAlign w:val="bottom"/>
          </w:tcPr>
          <w:p>
            <w:pPr>
              <w:spacing w:after="0"/>
              <w:rPr>
                <w:sz w:val="15"/>
                <w:szCs w:val="15"/>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64%</w:t>
            </w:r>
          </w:p>
        </w:tc>
        <w:tc>
          <w:tcPr>
            <w:tcW w:w="100" w:type="dxa"/>
            <w:vAlign w:val="bottom"/>
          </w:tcPr>
          <w:p>
            <w:pPr>
              <w:spacing w:after="0"/>
              <w:rPr>
                <w:sz w:val="15"/>
                <w:szCs w:val="15"/>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1"/>
              </w:rPr>
              <w:t>3</w:t>
            </w:r>
          </w:p>
        </w:tc>
      </w:tr>
      <w:tr>
        <w:trPr>
          <w:trHeight w:val="197"/>
        </w:trPr>
        <w:tc>
          <w:tcPr>
            <w:tcW w:w="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Loan 60</w:t>
            </w:r>
          </w:p>
        </w:tc>
        <w:tc>
          <w:tcPr>
            <w:tcW w:w="8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Senior</w:t>
            </w:r>
          </w:p>
        </w:tc>
        <w:tc>
          <w:tcPr>
            <w:tcW w:w="8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8"/>
              </w:rPr>
              <w:t>7/14/2021</w:t>
            </w:r>
          </w:p>
        </w:tc>
        <w:tc>
          <w:tcPr>
            <w:tcW w:w="100" w:type="dxa"/>
            <w:vAlign w:val="bottom"/>
            <w:shd w:val="clear" w:color="auto" w:fill="CCEEFF"/>
          </w:tcPr>
          <w:p>
            <w:pPr>
              <w:spacing w:after="0"/>
              <w:rPr>
                <w:sz w:val="17"/>
                <w:szCs w:val="17"/>
                <w:color w:val="auto"/>
              </w:rPr>
            </w:pPr>
          </w:p>
        </w:tc>
        <w:tc>
          <w:tcPr>
            <w:tcW w:w="14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Salt Lake City, UT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18,830</w:t>
            </w: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18,783</w:t>
            </w:r>
          </w:p>
        </w:tc>
        <w:tc>
          <w:tcPr>
            <w:tcW w:w="8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3"/>
                <w:szCs w:val="13"/>
                <w:color w:val="auto"/>
                <w:w w:val="96"/>
              </w:rPr>
              <w:t>Floating</w:t>
            </w:r>
          </w:p>
        </w:tc>
        <w:tc>
          <w:tcPr>
            <w:tcW w:w="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5"/>
              </w:rPr>
              <w:t>2.8%</w:t>
            </w: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6.7%</w:t>
            </w: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5"/>
              </w:rPr>
              <w:t>8/9/2028</w:t>
            </w: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73%</w:t>
            </w: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1"/>
              </w:rPr>
              <w:t>3</w:t>
            </w:r>
          </w:p>
        </w:tc>
      </w:tr>
      <w:tr>
        <w:trPr>
          <w:trHeight w:val="181"/>
        </w:trPr>
        <w:tc>
          <w:tcPr>
            <w:tcW w:w="9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Loan 61</w:t>
            </w:r>
          </w:p>
        </w:tc>
        <w:tc>
          <w:tcPr>
            <w:tcW w:w="88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Senior</w:t>
            </w:r>
          </w:p>
        </w:tc>
        <w:tc>
          <w:tcPr>
            <w:tcW w:w="88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4"/>
              </w:rPr>
              <w:t>11/20/2025</w:t>
            </w:r>
          </w:p>
        </w:tc>
        <w:tc>
          <w:tcPr>
            <w:tcW w:w="100" w:type="dxa"/>
            <w:vAlign w:val="bottom"/>
          </w:tcPr>
          <w:p>
            <w:pPr>
              <w:spacing w:after="0"/>
              <w:rPr>
                <w:sz w:val="15"/>
                <w:szCs w:val="15"/>
                <w:color w:val="auto"/>
              </w:rPr>
            </w:pPr>
          </w:p>
        </w:tc>
        <w:tc>
          <w:tcPr>
            <w:tcW w:w="144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Whittier, CA</w:t>
            </w: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17,707</w:t>
            </w:r>
          </w:p>
        </w:tc>
        <w:tc>
          <w:tcPr>
            <w:tcW w:w="10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17,815</w:t>
            </w:r>
          </w:p>
        </w:tc>
        <w:tc>
          <w:tcPr>
            <w:tcW w:w="80" w:type="dxa"/>
            <w:vAlign w:val="bottom"/>
          </w:tcPr>
          <w:p>
            <w:pPr>
              <w:spacing w:after="0"/>
              <w:rPr>
                <w:sz w:val="15"/>
                <w:szCs w:val="15"/>
                <w:color w:val="auto"/>
              </w:rPr>
            </w:pPr>
          </w:p>
        </w:tc>
        <w:tc>
          <w:tcPr>
            <w:tcW w:w="80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color w:val="auto"/>
                <w:w w:val="96"/>
              </w:rPr>
              <w:t>Floating</w:t>
            </w:r>
          </w:p>
        </w:tc>
        <w:tc>
          <w:tcPr>
            <w:tcW w:w="78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5"/>
              </w:rPr>
              <w:t>2.5%</w:t>
            </w:r>
          </w:p>
        </w:tc>
        <w:tc>
          <w:tcPr>
            <w:tcW w:w="100" w:type="dxa"/>
            <w:vAlign w:val="bottom"/>
          </w:tcPr>
          <w:p>
            <w:pPr>
              <w:spacing w:after="0"/>
              <w:rPr>
                <w:sz w:val="15"/>
                <w:szCs w:val="15"/>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6.9%</w:t>
            </w:r>
          </w:p>
        </w:tc>
        <w:tc>
          <w:tcPr>
            <w:tcW w:w="100" w:type="dxa"/>
            <w:vAlign w:val="bottom"/>
          </w:tcPr>
          <w:p>
            <w:pPr>
              <w:spacing w:after="0"/>
              <w:rPr>
                <w:sz w:val="15"/>
                <w:szCs w:val="15"/>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8"/>
              </w:rPr>
              <w:t>12/9/2030</w:t>
            </w:r>
          </w:p>
        </w:tc>
        <w:tc>
          <w:tcPr>
            <w:tcW w:w="100" w:type="dxa"/>
            <w:vAlign w:val="bottom"/>
          </w:tcPr>
          <w:p>
            <w:pPr>
              <w:spacing w:after="0"/>
              <w:rPr>
                <w:sz w:val="15"/>
                <w:szCs w:val="15"/>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59%</w:t>
            </w:r>
          </w:p>
        </w:tc>
        <w:tc>
          <w:tcPr>
            <w:tcW w:w="100" w:type="dxa"/>
            <w:vAlign w:val="bottom"/>
          </w:tcPr>
          <w:p>
            <w:pPr>
              <w:spacing w:after="0"/>
              <w:rPr>
                <w:sz w:val="15"/>
                <w:szCs w:val="15"/>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1"/>
              </w:rPr>
              <w:t>3</w:t>
            </w:r>
          </w:p>
        </w:tc>
      </w:tr>
      <w:tr>
        <w:trPr>
          <w:trHeight w:val="197"/>
        </w:trPr>
        <w:tc>
          <w:tcPr>
            <w:tcW w:w="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Loan 62</w:t>
            </w:r>
          </w:p>
        </w:tc>
        <w:tc>
          <w:tcPr>
            <w:tcW w:w="8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Senior</w:t>
            </w:r>
          </w:p>
        </w:tc>
        <w:tc>
          <w:tcPr>
            <w:tcW w:w="8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4"/>
              </w:rPr>
              <w:t>10/23/2025</w:t>
            </w:r>
          </w:p>
        </w:tc>
        <w:tc>
          <w:tcPr>
            <w:tcW w:w="100" w:type="dxa"/>
            <w:vAlign w:val="bottom"/>
            <w:shd w:val="clear" w:color="auto" w:fill="CCEEFF"/>
          </w:tcPr>
          <w:p>
            <w:pPr>
              <w:spacing w:after="0"/>
              <w:rPr>
                <w:sz w:val="17"/>
                <w:szCs w:val="17"/>
                <w:color w:val="auto"/>
              </w:rPr>
            </w:pPr>
          </w:p>
        </w:tc>
        <w:tc>
          <w:tcPr>
            <w:tcW w:w="14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Huntsville, AL</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17,595</w:t>
            </w: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17,700</w:t>
            </w:r>
          </w:p>
        </w:tc>
        <w:tc>
          <w:tcPr>
            <w:tcW w:w="8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3"/>
                <w:szCs w:val="13"/>
                <w:color w:val="auto"/>
                <w:w w:val="96"/>
              </w:rPr>
              <w:t>Floating</w:t>
            </w:r>
          </w:p>
        </w:tc>
        <w:tc>
          <w:tcPr>
            <w:tcW w:w="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5"/>
              </w:rPr>
              <w:t>2.8%</w:t>
            </w: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7.2%</w:t>
            </w: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8"/>
              </w:rPr>
              <w:t>11/9/2030</w:t>
            </w: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55%</w:t>
            </w: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1"/>
              </w:rPr>
              <w:t>3</w:t>
            </w:r>
          </w:p>
        </w:tc>
      </w:tr>
      <w:tr>
        <w:trPr>
          <w:trHeight w:val="181"/>
        </w:trPr>
        <w:tc>
          <w:tcPr>
            <w:tcW w:w="9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Loan 63</w:t>
            </w:r>
          </w:p>
        </w:tc>
        <w:tc>
          <w:tcPr>
            <w:tcW w:w="88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Senior</w:t>
            </w:r>
          </w:p>
        </w:tc>
        <w:tc>
          <w:tcPr>
            <w:tcW w:w="88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5"/>
              </w:rPr>
              <w:t>5/5/2022</w:t>
            </w:r>
          </w:p>
        </w:tc>
        <w:tc>
          <w:tcPr>
            <w:tcW w:w="100" w:type="dxa"/>
            <w:vAlign w:val="bottom"/>
          </w:tcPr>
          <w:p>
            <w:pPr>
              <w:spacing w:after="0"/>
              <w:rPr>
                <w:sz w:val="15"/>
                <w:szCs w:val="15"/>
                <w:color w:val="auto"/>
              </w:rPr>
            </w:pPr>
          </w:p>
        </w:tc>
        <w:tc>
          <w:tcPr>
            <w:tcW w:w="144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Charlotte, NC</w:t>
            </w: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17,250</w:t>
            </w:r>
          </w:p>
        </w:tc>
        <w:tc>
          <w:tcPr>
            <w:tcW w:w="10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17,250</w:t>
            </w:r>
          </w:p>
        </w:tc>
        <w:tc>
          <w:tcPr>
            <w:tcW w:w="80" w:type="dxa"/>
            <w:vAlign w:val="bottom"/>
          </w:tcPr>
          <w:p>
            <w:pPr>
              <w:spacing w:after="0"/>
              <w:rPr>
                <w:sz w:val="15"/>
                <w:szCs w:val="15"/>
                <w:color w:val="auto"/>
              </w:rPr>
            </w:pPr>
          </w:p>
        </w:tc>
        <w:tc>
          <w:tcPr>
            <w:tcW w:w="80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color w:val="auto"/>
                <w:w w:val="96"/>
              </w:rPr>
              <w:t>Floating</w:t>
            </w:r>
          </w:p>
        </w:tc>
        <w:tc>
          <w:tcPr>
            <w:tcW w:w="78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5"/>
              </w:rPr>
              <w:t>3.5%</w:t>
            </w:r>
          </w:p>
        </w:tc>
        <w:tc>
          <w:tcPr>
            <w:tcW w:w="100" w:type="dxa"/>
            <w:vAlign w:val="bottom"/>
          </w:tcPr>
          <w:p>
            <w:pPr>
              <w:spacing w:after="0"/>
              <w:rPr>
                <w:sz w:val="15"/>
                <w:szCs w:val="15"/>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7.4%</w:t>
            </w:r>
          </w:p>
        </w:tc>
        <w:tc>
          <w:tcPr>
            <w:tcW w:w="100" w:type="dxa"/>
            <w:vAlign w:val="bottom"/>
          </w:tcPr>
          <w:p>
            <w:pPr>
              <w:spacing w:after="0"/>
              <w:rPr>
                <w:sz w:val="15"/>
                <w:szCs w:val="15"/>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5"/>
              </w:rPr>
              <w:t>5/9/2028</w:t>
            </w:r>
          </w:p>
        </w:tc>
        <w:tc>
          <w:tcPr>
            <w:tcW w:w="100" w:type="dxa"/>
            <w:vAlign w:val="bottom"/>
          </w:tcPr>
          <w:p>
            <w:pPr>
              <w:spacing w:after="0"/>
              <w:rPr>
                <w:sz w:val="15"/>
                <w:szCs w:val="15"/>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61%</w:t>
            </w:r>
          </w:p>
        </w:tc>
        <w:tc>
          <w:tcPr>
            <w:tcW w:w="100" w:type="dxa"/>
            <w:vAlign w:val="bottom"/>
          </w:tcPr>
          <w:p>
            <w:pPr>
              <w:spacing w:after="0"/>
              <w:rPr>
                <w:sz w:val="15"/>
                <w:szCs w:val="15"/>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1"/>
              </w:rPr>
              <w:t>3</w:t>
            </w:r>
          </w:p>
        </w:tc>
      </w:tr>
      <w:tr>
        <w:trPr>
          <w:trHeight w:val="197"/>
        </w:trPr>
        <w:tc>
          <w:tcPr>
            <w:tcW w:w="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Loan 64</w:t>
            </w:r>
          </w:p>
        </w:tc>
        <w:tc>
          <w:tcPr>
            <w:tcW w:w="8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Senior</w:t>
            </w:r>
          </w:p>
        </w:tc>
        <w:tc>
          <w:tcPr>
            <w:tcW w:w="8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8"/>
              </w:rPr>
              <w:t>9/16/2025</w:t>
            </w:r>
          </w:p>
        </w:tc>
        <w:tc>
          <w:tcPr>
            <w:tcW w:w="100" w:type="dxa"/>
            <w:vAlign w:val="bottom"/>
            <w:shd w:val="clear" w:color="auto" w:fill="CCEEFF"/>
          </w:tcPr>
          <w:p>
            <w:pPr>
              <w:spacing w:after="0"/>
              <w:rPr>
                <w:sz w:val="17"/>
                <w:szCs w:val="17"/>
                <w:color w:val="auto"/>
              </w:rPr>
            </w:pPr>
          </w:p>
        </w:tc>
        <w:tc>
          <w:tcPr>
            <w:tcW w:w="14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Glendale, AZ</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17,038</w:t>
            </w: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17,160</w:t>
            </w:r>
          </w:p>
        </w:tc>
        <w:tc>
          <w:tcPr>
            <w:tcW w:w="8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3"/>
                <w:szCs w:val="13"/>
                <w:color w:val="auto"/>
                <w:w w:val="96"/>
              </w:rPr>
              <w:t>Floating</w:t>
            </w:r>
          </w:p>
        </w:tc>
        <w:tc>
          <w:tcPr>
            <w:tcW w:w="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5"/>
              </w:rPr>
              <w:t>2.6%</w:t>
            </w: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6.8%</w:t>
            </w: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8"/>
              </w:rPr>
              <w:t>10/9/2030</w:t>
            </w: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73%</w:t>
            </w: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1"/>
              </w:rPr>
              <w:t>3</w:t>
            </w:r>
          </w:p>
        </w:tc>
      </w:tr>
      <w:tr>
        <w:trPr>
          <w:trHeight w:val="181"/>
        </w:trPr>
        <w:tc>
          <w:tcPr>
            <w:tcW w:w="9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Loan 65</w:t>
            </w:r>
          </w:p>
        </w:tc>
        <w:tc>
          <w:tcPr>
            <w:tcW w:w="88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Senior</w:t>
            </w:r>
          </w:p>
        </w:tc>
        <w:tc>
          <w:tcPr>
            <w:tcW w:w="88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8"/>
              </w:rPr>
              <w:t>9/18/2025</w:t>
            </w:r>
          </w:p>
        </w:tc>
        <w:tc>
          <w:tcPr>
            <w:tcW w:w="100" w:type="dxa"/>
            <w:vAlign w:val="bottom"/>
          </w:tcPr>
          <w:p>
            <w:pPr>
              <w:spacing w:after="0"/>
              <w:rPr>
                <w:sz w:val="15"/>
                <w:szCs w:val="15"/>
                <w:color w:val="auto"/>
              </w:rPr>
            </w:pPr>
          </w:p>
        </w:tc>
        <w:tc>
          <w:tcPr>
            <w:tcW w:w="144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Mobile, AL</w:t>
            </w: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15,889</w:t>
            </w:r>
          </w:p>
        </w:tc>
        <w:tc>
          <w:tcPr>
            <w:tcW w:w="10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16,000</w:t>
            </w:r>
          </w:p>
        </w:tc>
        <w:tc>
          <w:tcPr>
            <w:tcW w:w="80" w:type="dxa"/>
            <w:vAlign w:val="bottom"/>
          </w:tcPr>
          <w:p>
            <w:pPr>
              <w:spacing w:after="0"/>
              <w:rPr>
                <w:sz w:val="15"/>
                <w:szCs w:val="15"/>
                <w:color w:val="auto"/>
              </w:rPr>
            </w:pPr>
          </w:p>
        </w:tc>
        <w:tc>
          <w:tcPr>
            <w:tcW w:w="80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color w:val="auto"/>
                <w:w w:val="96"/>
              </w:rPr>
              <w:t>Floating</w:t>
            </w:r>
          </w:p>
        </w:tc>
        <w:tc>
          <w:tcPr>
            <w:tcW w:w="78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5"/>
              </w:rPr>
              <w:t>2.8%</w:t>
            </w:r>
          </w:p>
        </w:tc>
        <w:tc>
          <w:tcPr>
            <w:tcW w:w="100" w:type="dxa"/>
            <w:vAlign w:val="bottom"/>
          </w:tcPr>
          <w:p>
            <w:pPr>
              <w:spacing w:after="0"/>
              <w:rPr>
                <w:sz w:val="15"/>
                <w:szCs w:val="15"/>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7.0%</w:t>
            </w:r>
          </w:p>
        </w:tc>
        <w:tc>
          <w:tcPr>
            <w:tcW w:w="100" w:type="dxa"/>
            <w:vAlign w:val="bottom"/>
          </w:tcPr>
          <w:p>
            <w:pPr>
              <w:spacing w:after="0"/>
              <w:rPr>
                <w:sz w:val="15"/>
                <w:szCs w:val="15"/>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8"/>
              </w:rPr>
              <w:t>10/9/2030</w:t>
            </w:r>
          </w:p>
        </w:tc>
        <w:tc>
          <w:tcPr>
            <w:tcW w:w="100" w:type="dxa"/>
            <w:vAlign w:val="bottom"/>
          </w:tcPr>
          <w:p>
            <w:pPr>
              <w:spacing w:after="0"/>
              <w:rPr>
                <w:sz w:val="15"/>
                <w:szCs w:val="15"/>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73%</w:t>
            </w:r>
          </w:p>
        </w:tc>
        <w:tc>
          <w:tcPr>
            <w:tcW w:w="100" w:type="dxa"/>
            <w:vAlign w:val="bottom"/>
          </w:tcPr>
          <w:p>
            <w:pPr>
              <w:spacing w:after="0"/>
              <w:rPr>
                <w:sz w:val="15"/>
                <w:szCs w:val="15"/>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1"/>
              </w:rPr>
              <w:t>3</w:t>
            </w:r>
          </w:p>
        </w:tc>
      </w:tr>
      <w:tr>
        <w:trPr>
          <w:trHeight w:val="197"/>
        </w:trPr>
        <w:tc>
          <w:tcPr>
            <w:tcW w:w="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Loan 66</w:t>
            </w:r>
          </w:p>
        </w:tc>
        <w:tc>
          <w:tcPr>
            <w:tcW w:w="8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Senior</w:t>
            </w:r>
          </w:p>
        </w:tc>
        <w:tc>
          <w:tcPr>
            <w:tcW w:w="8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8"/>
              </w:rPr>
              <w:t>6/25/2026</w:t>
            </w:r>
          </w:p>
        </w:tc>
        <w:tc>
          <w:tcPr>
            <w:tcW w:w="100" w:type="dxa"/>
            <w:vAlign w:val="bottom"/>
            <w:shd w:val="clear" w:color="auto" w:fill="CCEEFF"/>
          </w:tcPr>
          <w:p>
            <w:pPr>
              <w:spacing w:after="0"/>
              <w:rPr>
                <w:sz w:val="17"/>
                <w:szCs w:val="17"/>
                <w:color w:val="auto"/>
              </w:rPr>
            </w:pPr>
          </w:p>
        </w:tc>
        <w:tc>
          <w:tcPr>
            <w:tcW w:w="14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Phoenix, AZ</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15,775</w:t>
            </w: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15,932</w:t>
            </w:r>
          </w:p>
        </w:tc>
        <w:tc>
          <w:tcPr>
            <w:tcW w:w="8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3"/>
                <w:szCs w:val="13"/>
                <w:color w:val="auto"/>
                <w:w w:val="96"/>
              </w:rPr>
              <w:t>Floating</w:t>
            </w:r>
          </w:p>
        </w:tc>
        <w:tc>
          <w:tcPr>
            <w:tcW w:w="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5"/>
              </w:rPr>
              <w:t>2.9%</w:t>
            </w: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7.3%</w:t>
            </w: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5"/>
              </w:rPr>
              <w:t>7/9/2031</w:t>
            </w: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73%</w:t>
            </w: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1"/>
              </w:rPr>
              <w:t>3</w:t>
            </w:r>
          </w:p>
        </w:tc>
      </w:tr>
      <w:tr>
        <w:trPr>
          <w:trHeight w:val="181"/>
        </w:trPr>
        <w:tc>
          <w:tcPr>
            <w:tcW w:w="9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Loan 67</w:t>
            </w:r>
          </w:p>
        </w:tc>
        <w:tc>
          <w:tcPr>
            <w:tcW w:w="88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Senior</w:t>
            </w:r>
          </w:p>
        </w:tc>
        <w:tc>
          <w:tcPr>
            <w:tcW w:w="88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8"/>
              </w:rPr>
              <w:t>1/10/2025</w:t>
            </w:r>
          </w:p>
        </w:tc>
        <w:tc>
          <w:tcPr>
            <w:tcW w:w="100" w:type="dxa"/>
            <w:vAlign w:val="bottom"/>
          </w:tcPr>
          <w:p>
            <w:pPr>
              <w:spacing w:after="0"/>
              <w:rPr>
                <w:sz w:val="15"/>
                <w:szCs w:val="15"/>
                <w:color w:val="auto"/>
              </w:rPr>
            </w:pPr>
          </w:p>
        </w:tc>
        <w:tc>
          <w:tcPr>
            <w:tcW w:w="144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Lebanon, TN</w:t>
            </w: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15,750</w:t>
            </w:r>
          </w:p>
        </w:tc>
        <w:tc>
          <w:tcPr>
            <w:tcW w:w="10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15,750</w:t>
            </w:r>
          </w:p>
        </w:tc>
        <w:tc>
          <w:tcPr>
            <w:tcW w:w="80" w:type="dxa"/>
            <w:vAlign w:val="bottom"/>
          </w:tcPr>
          <w:p>
            <w:pPr>
              <w:spacing w:after="0"/>
              <w:rPr>
                <w:sz w:val="15"/>
                <w:szCs w:val="15"/>
                <w:color w:val="auto"/>
              </w:rPr>
            </w:pPr>
          </w:p>
        </w:tc>
        <w:tc>
          <w:tcPr>
            <w:tcW w:w="80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color w:val="auto"/>
                <w:w w:val="96"/>
              </w:rPr>
              <w:t>Floating</w:t>
            </w:r>
          </w:p>
        </w:tc>
        <w:tc>
          <w:tcPr>
            <w:tcW w:w="78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5"/>
              </w:rPr>
              <w:t>3.6%</w:t>
            </w:r>
          </w:p>
        </w:tc>
        <w:tc>
          <w:tcPr>
            <w:tcW w:w="100" w:type="dxa"/>
            <w:vAlign w:val="bottom"/>
          </w:tcPr>
          <w:p>
            <w:pPr>
              <w:spacing w:after="0"/>
              <w:rPr>
                <w:sz w:val="15"/>
                <w:szCs w:val="15"/>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7.5%</w:t>
            </w:r>
          </w:p>
        </w:tc>
        <w:tc>
          <w:tcPr>
            <w:tcW w:w="100" w:type="dxa"/>
            <w:vAlign w:val="bottom"/>
          </w:tcPr>
          <w:p>
            <w:pPr>
              <w:spacing w:after="0"/>
              <w:rPr>
                <w:sz w:val="15"/>
                <w:szCs w:val="15"/>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5"/>
              </w:rPr>
              <w:t>2/9/2030</w:t>
            </w:r>
          </w:p>
        </w:tc>
        <w:tc>
          <w:tcPr>
            <w:tcW w:w="100" w:type="dxa"/>
            <w:vAlign w:val="bottom"/>
          </w:tcPr>
          <w:p>
            <w:pPr>
              <w:spacing w:after="0"/>
              <w:rPr>
                <w:sz w:val="15"/>
                <w:szCs w:val="15"/>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71%</w:t>
            </w:r>
          </w:p>
        </w:tc>
        <w:tc>
          <w:tcPr>
            <w:tcW w:w="100" w:type="dxa"/>
            <w:vAlign w:val="bottom"/>
          </w:tcPr>
          <w:p>
            <w:pPr>
              <w:spacing w:after="0"/>
              <w:rPr>
                <w:sz w:val="15"/>
                <w:szCs w:val="15"/>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1"/>
              </w:rPr>
              <w:t>3</w:t>
            </w:r>
          </w:p>
        </w:tc>
      </w:tr>
      <w:tr>
        <w:trPr>
          <w:trHeight w:val="197"/>
        </w:trPr>
        <w:tc>
          <w:tcPr>
            <w:tcW w:w="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Loan 68</w:t>
            </w:r>
          </w:p>
        </w:tc>
        <w:tc>
          <w:tcPr>
            <w:tcW w:w="8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Senior</w:t>
            </w:r>
          </w:p>
        </w:tc>
        <w:tc>
          <w:tcPr>
            <w:tcW w:w="8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8"/>
              </w:rPr>
              <w:t>5/27/2026</w:t>
            </w:r>
          </w:p>
        </w:tc>
        <w:tc>
          <w:tcPr>
            <w:tcW w:w="100" w:type="dxa"/>
            <w:vAlign w:val="bottom"/>
            <w:shd w:val="clear" w:color="auto" w:fill="CCEEFF"/>
          </w:tcPr>
          <w:p>
            <w:pPr>
              <w:spacing w:after="0"/>
              <w:rPr>
                <w:sz w:val="17"/>
                <w:szCs w:val="17"/>
                <w:color w:val="auto"/>
              </w:rPr>
            </w:pPr>
          </w:p>
        </w:tc>
        <w:tc>
          <w:tcPr>
            <w:tcW w:w="14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San Francisco, CA</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15,693</w:t>
            </w: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15,900</w:t>
            </w:r>
          </w:p>
        </w:tc>
        <w:tc>
          <w:tcPr>
            <w:tcW w:w="8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3"/>
                <w:szCs w:val="13"/>
                <w:color w:val="auto"/>
                <w:w w:val="96"/>
              </w:rPr>
              <w:t>Floating</w:t>
            </w:r>
          </w:p>
        </w:tc>
        <w:tc>
          <w:tcPr>
            <w:tcW w:w="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5"/>
              </w:rPr>
              <w:t>2.6%</w:t>
            </w: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7.0%</w:t>
            </w: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5"/>
              </w:rPr>
              <w:t>6/9/2031</w:t>
            </w: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64%</w:t>
            </w: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1"/>
              </w:rPr>
              <w:t>3</w:t>
            </w:r>
          </w:p>
        </w:tc>
      </w:tr>
      <w:tr>
        <w:trPr>
          <w:trHeight w:val="181"/>
        </w:trPr>
        <w:tc>
          <w:tcPr>
            <w:tcW w:w="9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Loan 69</w:t>
            </w:r>
          </w:p>
        </w:tc>
        <w:tc>
          <w:tcPr>
            <w:tcW w:w="88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Senior</w:t>
            </w:r>
          </w:p>
        </w:tc>
        <w:tc>
          <w:tcPr>
            <w:tcW w:w="88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5"/>
              </w:rPr>
              <w:t>5/5/2025</w:t>
            </w:r>
          </w:p>
        </w:tc>
        <w:tc>
          <w:tcPr>
            <w:tcW w:w="100" w:type="dxa"/>
            <w:vAlign w:val="bottom"/>
          </w:tcPr>
          <w:p>
            <w:pPr>
              <w:spacing w:after="0"/>
              <w:rPr>
                <w:sz w:val="15"/>
                <w:szCs w:val="15"/>
                <w:color w:val="auto"/>
              </w:rPr>
            </w:pPr>
          </w:p>
        </w:tc>
        <w:tc>
          <w:tcPr>
            <w:tcW w:w="144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Dallas, TX</w:t>
            </w: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13,702</w:t>
            </w:r>
          </w:p>
        </w:tc>
        <w:tc>
          <w:tcPr>
            <w:tcW w:w="10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13,750</w:t>
            </w:r>
          </w:p>
        </w:tc>
        <w:tc>
          <w:tcPr>
            <w:tcW w:w="80" w:type="dxa"/>
            <w:vAlign w:val="bottom"/>
          </w:tcPr>
          <w:p>
            <w:pPr>
              <w:spacing w:after="0"/>
              <w:rPr>
                <w:sz w:val="15"/>
                <w:szCs w:val="15"/>
                <w:color w:val="auto"/>
              </w:rPr>
            </w:pPr>
          </w:p>
        </w:tc>
        <w:tc>
          <w:tcPr>
            <w:tcW w:w="80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color w:val="auto"/>
                <w:w w:val="96"/>
              </w:rPr>
              <w:t>Floating</w:t>
            </w:r>
          </w:p>
        </w:tc>
        <w:tc>
          <w:tcPr>
            <w:tcW w:w="78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5"/>
              </w:rPr>
              <w:t>2.9%</w:t>
            </w:r>
          </w:p>
        </w:tc>
        <w:tc>
          <w:tcPr>
            <w:tcW w:w="100" w:type="dxa"/>
            <w:vAlign w:val="bottom"/>
          </w:tcPr>
          <w:p>
            <w:pPr>
              <w:spacing w:after="0"/>
              <w:rPr>
                <w:sz w:val="15"/>
                <w:szCs w:val="15"/>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7.3%</w:t>
            </w:r>
          </w:p>
        </w:tc>
        <w:tc>
          <w:tcPr>
            <w:tcW w:w="100" w:type="dxa"/>
            <w:vAlign w:val="bottom"/>
          </w:tcPr>
          <w:p>
            <w:pPr>
              <w:spacing w:after="0"/>
              <w:rPr>
                <w:sz w:val="15"/>
                <w:szCs w:val="15"/>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5"/>
              </w:rPr>
              <w:t>5/9/2030</w:t>
            </w:r>
          </w:p>
        </w:tc>
        <w:tc>
          <w:tcPr>
            <w:tcW w:w="100" w:type="dxa"/>
            <w:vAlign w:val="bottom"/>
          </w:tcPr>
          <w:p>
            <w:pPr>
              <w:spacing w:after="0"/>
              <w:rPr>
                <w:sz w:val="15"/>
                <w:szCs w:val="15"/>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65%</w:t>
            </w:r>
          </w:p>
        </w:tc>
        <w:tc>
          <w:tcPr>
            <w:tcW w:w="100" w:type="dxa"/>
            <w:vAlign w:val="bottom"/>
          </w:tcPr>
          <w:p>
            <w:pPr>
              <w:spacing w:after="0"/>
              <w:rPr>
                <w:sz w:val="15"/>
                <w:szCs w:val="15"/>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1"/>
              </w:rPr>
              <w:t>3</w:t>
            </w:r>
          </w:p>
        </w:tc>
      </w:tr>
      <w:tr>
        <w:trPr>
          <w:trHeight w:val="197"/>
        </w:trPr>
        <w:tc>
          <w:tcPr>
            <w:tcW w:w="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Loan 70</w:t>
            </w:r>
          </w:p>
        </w:tc>
        <w:tc>
          <w:tcPr>
            <w:tcW w:w="8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Senior</w:t>
            </w:r>
          </w:p>
        </w:tc>
        <w:tc>
          <w:tcPr>
            <w:tcW w:w="8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8"/>
              </w:rPr>
              <w:t>8/19/2025</w:t>
            </w:r>
          </w:p>
        </w:tc>
        <w:tc>
          <w:tcPr>
            <w:tcW w:w="100" w:type="dxa"/>
            <w:vAlign w:val="bottom"/>
            <w:shd w:val="clear" w:color="auto" w:fill="CCEEFF"/>
          </w:tcPr>
          <w:p>
            <w:pPr>
              <w:spacing w:after="0"/>
              <w:rPr>
                <w:sz w:val="17"/>
                <w:szCs w:val="17"/>
                <w:color w:val="auto"/>
              </w:rPr>
            </w:pPr>
          </w:p>
        </w:tc>
        <w:tc>
          <w:tcPr>
            <w:tcW w:w="14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Phoenix, AZ</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13,677</w:t>
            </w: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13,771</w:t>
            </w:r>
          </w:p>
        </w:tc>
        <w:tc>
          <w:tcPr>
            <w:tcW w:w="8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3"/>
                <w:szCs w:val="13"/>
                <w:color w:val="auto"/>
                <w:w w:val="96"/>
              </w:rPr>
              <w:t>Floating</w:t>
            </w:r>
          </w:p>
        </w:tc>
        <w:tc>
          <w:tcPr>
            <w:tcW w:w="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5"/>
              </w:rPr>
              <w:t>2.7%</w:t>
            </w: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6.9%</w:t>
            </w: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5"/>
              </w:rPr>
              <w:t>9/9/2030</w:t>
            </w: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75%</w:t>
            </w: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1"/>
              </w:rPr>
              <w:t>3</w:t>
            </w:r>
          </w:p>
        </w:tc>
      </w:tr>
      <w:tr>
        <w:trPr>
          <w:trHeight w:val="181"/>
        </w:trPr>
        <w:tc>
          <w:tcPr>
            <w:tcW w:w="9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Loan 71</w:t>
            </w:r>
          </w:p>
        </w:tc>
        <w:tc>
          <w:tcPr>
            <w:tcW w:w="88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Senior</w:t>
            </w:r>
          </w:p>
        </w:tc>
        <w:tc>
          <w:tcPr>
            <w:tcW w:w="88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5"/>
              </w:rPr>
              <w:t>7/3/2025</w:t>
            </w:r>
          </w:p>
        </w:tc>
        <w:tc>
          <w:tcPr>
            <w:tcW w:w="100" w:type="dxa"/>
            <w:vAlign w:val="bottom"/>
          </w:tcPr>
          <w:p>
            <w:pPr>
              <w:spacing w:after="0"/>
              <w:rPr>
                <w:sz w:val="15"/>
                <w:szCs w:val="15"/>
                <w:color w:val="auto"/>
              </w:rPr>
            </w:pPr>
          </w:p>
        </w:tc>
        <w:tc>
          <w:tcPr>
            <w:tcW w:w="144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Northridge, CA</w:t>
            </w: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13,196</w:t>
            </w:r>
          </w:p>
        </w:tc>
        <w:tc>
          <w:tcPr>
            <w:tcW w:w="10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13,250</w:t>
            </w:r>
          </w:p>
        </w:tc>
        <w:tc>
          <w:tcPr>
            <w:tcW w:w="80" w:type="dxa"/>
            <w:vAlign w:val="bottom"/>
          </w:tcPr>
          <w:p>
            <w:pPr>
              <w:spacing w:after="0"/>
              <w:rPr>
                <w:sz w:val="15"/>
                <w:szCs w:val="15"/>
                <w:color w:val="auto"/>
              </w:rPr>
            </w:pPr>
          </w:p>
        </w:tc>
        <w:tc>
          <w:tcPr>
            <w:tcW w:w="80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color w:val="auto"/>
                <w:w w:val="96"/>
              </w:rPr>
              <w:t>Floating</w:t>
            </w:r>
          </w:p>
        </w:tc>
        <w:tc>
          <w:tcPr>
            <w:tcW w:w="78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5"/>
              </w:rPr>
              <w:t>3.3%</w:t>
            </w:r>
          </w:p>
        </w:tc>
        <w:tc>
          <w:tcPr>
            <w:tcW w:w="100" w:type="dxa"/>
            <w:vAlign w:val="bottom"/>
          </w:tcPr>
          <w:p>
            <w:pPr>
              <w:spacing w:after="0"/>
              <w:rPr>
                <w:sz w:val="15"/>
                <w:szCs w:val="15"/>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7.7%</w:t>
            </w:r>
          </w:p>
        </w:tc>
        <w:tc>
          <w:tcPr>
            <w:tcW w:w="100" w:type="dxa"/>
            <w:vAlign w:val="bottom"/>
          </w:tcPr>
          <w:p>
            <w:pPr>
              <w:spacing w:after="0"/>
              <w:rPr>
                <w:sz w:val="15"/>
                <w:szCs w:val="15"/>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5"/>
              </w:rPr>
              <w:t>7/3/2030</w:t>
            </w:r>
          </w:p>
        </w:tc>
        <w:tc>
          <w:tcPr>
            <w:tcW w:w="100" w:type="dxa"/>
            <w:vAlign w:val="bottom"/>
          </w:tcPr>
          <w:p>
            <w:pPr>
              <w:spacing w:after="0"/>
              <w:rPr>
                <w:sz w:val="15"/>
                <w:szCs w:val="15"/>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74%</w:t>
            </w:r>
          </w:p>
        </w:tc>
        <w:tc>
          <w:tcPr>
            <w:tcW w:w="100" w:type="dxa"/>
            <w:vAlign w:val="bottom"/>
          </w:tcPr>
          <w:p>
            <w:pPr>
              <w:spacing w:after="0"/>
              <w:rPr>
                <w:sz w:val="15"/>
                <w:szCs w:val="15"/>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1"/>
              </w:rPr>
              <w:t>3</w:t>
            </w:r>
          </w:p>
        </w:tc>
      </w:tr>
      <w:tr>
        <w:trPr>
          <w:trHeight w:val="197"/>
        </w:trPr>
        <w:tc>
          <w:tcPr>
            <w:tcW w:w="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Loan 72</w:t>
            </w:r>
          </w:p>
        </w:tc>
        <w:tc>
          <w:tcPr>
            <w:tcW w:w="8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Senior</w:t>
            </w:r>
          </w:p>
        </w:tc>
        <w:tc>
          <w:tcPr>
            <w:tcW w:w="8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4"/>
              </w:rPr>
              <w:t>11/22/2024</w:t>
            </w:r>
          </w:p>
        </w:tc>
        <w:tc>
          <w:tcPr>
            <w:tcW w:w="100" w:type="dxa"/>
            <w:vAlign w:val="bottom"/>
            <w:shd w:val="clear" w:color="auto" w:fill="CCEEFF"/>
          </w:tcPr>
          <w:p>
            <w:pPr>
              <w:spacing w:after="0"/>
              <w:rPr>
                <w:sz w:val="17"/>
                <w:szCs w:val="17"/>
                <w:color w:val="auto"/>
              </w:rPr>
            </w:pPr>
          </w:p>
        </w:tc>
        <w:tc>
          <w:tcPr>
            <w:tcW w:w="14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Garland, TX</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12,916</w:t>
            </w: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12,983</w:t>
            </w:r>
          </w:p>
        </w:tc>
        <w:tc>
          <w:tcPr>
            <w:tcW w:w="8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3"/>
                <w:szCs w:val="13"/>
                <w:color w:val="auto"/>
                <w:w w:val="96"/>
              </w:rPr>
              <w:t>Floating</w:t>
            </w:r>
          </w:p>
        </w:tc>
        <w:tc>
          <w:tcPr>
            <w:tcW w:w="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5"/>
              </w:rPr>
              <w:t>3.5%</w:t>
            </w: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7.7%</w:t>
            </w: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8"/>
              </w:rPr>
              <w:t>12/9/2029</w:t>
            </w: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63%</w:t>
            </w: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1"/>
              </w:rPr>
              <w:t>3</w:t>
            </w:r>
          </w:p>
        </w:tc>
      </w:tr>
      <w:tr>
        <w:trPr>
          <w:trHeight w:val="181"/>
        </w:trPr>
        <w:tc>
          <w:tcPr>
            <w:tcW w:w="9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Loan 73</w:t>
            </w:r>
          </w:p>
        </w:tc>
        <w:tc>
          <w:tcPr>
            <w:tcW w:w="88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Senior</w:t>
            </w:r>
          </w:p>
        </w:tc>
        <w:tc>
          <w:tcPr>
            <w:tcW w:w="88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4"/>
              </w:rPr>
              <w:t>11/20/2025</w:t>
            </w:r>
          </w:p>
        </w:tc>
        <w:tc>
          <w:tcPr>
            <w:tcW w:w="100" w:type="dxa"/>
            <w:vAlign w:val="bottom"/>
          </w:tcPr>
          <w:p>
            <w:pPr>
              <w:spacing w:after="0"/>
              <w:rPr>
                <w:sz w:val="15"/>
                <w:szCs w:val="15"/>
                <w:color w:val="auto"/>
              </w:rPr>
            </w:pPr>
          </w:p>
        </w:tc>
        <w:tc>
          <w:tcPr>
            <w:tcW w:w="144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Hoboken, NJ</w:t>
            </w: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12,424</w:t>
            </w:r>
          </w:p>
        </w:tc>
        <w:tc>
          <w:tcPr>
            <w:tcW w:w="10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12,500</w:t>
            </w:r>
          </w:p>
        </w:tc>
        <w:tc>
          <w:tcPr>
            <w:tcW w:w="80" w:type="dxa"/>
            <w:vAlign w:val="bottom"/>
          </w:tcPr>
          <w:p>
            <w:pPr>
              <w:spacing w:after="0"/>
              <w:rPr>
                <w:sz w:val="15"/>
                <w:szCs w:val="15"/>
                <w:color w:val="auto"/>
              </w:rPr>
            </w:pPr>
          </w:p>
        </w:tc>
        <w:tc>
          <w:tcPr>
            <w:tcW w:w="80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color w:val="auto"/>
                <w:w w:val="96"/>
              </w:rPr>
              <w:t>Floating</w:t>
            </w:r>
          </w:p>
        </w:tc>
        <w:tc>
          <w:tcPr>
            <w:tcW w:w="78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5"/>
              </w:rPr>
              <w:t>2.4%</w:t>
            </w:r>
          </w:p>
        </w:tc>
        <w:tc>
          <w:tcPr>
            <w:tcW w:w="100" w:type="dxa"/>
            <w:vAlign w:val="bottom"/>
          </w:tcPr>
          <w:p>
            <w:pPr>
              <w:spacing w:after="0"/>
              <w:rPr>
                <w:sz w:val="15"/>
                <w:szCs w:val="15"/>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6.8%</w:t>
            </w:r>
          </w:p>
        </w:tc>
        <w:tc>
          <w:tcPr>
            <w:tcW w:w="100" w:type="dxa"/>
            <w:vAlign w:val="bottom"/>
          </w:tcPr>
          <w:p>
            <w:pPr>
              <w:spacing w:after="0"/>
              <w:rPr>
                <w:sz w:val="15"/>
                <w:szCs w:val="15"/>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8"/>
              </w:rPr>
              <w:t>12/9/2030</w:t>
            </w:r>
          </w:p>
        </w:tc>
        <w:tc>
          <w:tcPr>
            <w:tcW w:w="100" w:type="dxa"/>
            <w:vAlign w:val="bottom"/>
          </w:tcPr>
          <w:p>
            <w:pPr>
              <w:spacing w:after="0"/>
              <w:rPr>
                <w:sz w:val="15"/>
                <w:szCs w:val="15"/>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61%</w:t>
            </w:r>
          </w:p>
        </w:tc>
        <w:tc>
          <w:tcPr>
            <w:tcW w:w="100" w:type="dxa"/>
            <w:vAlign w:val="bottom"/>
          </w:tcPr>
          <w:p>
            <w:pPr>
              <w:spacing w:after="0"/>
              <w:rPr>
                <w:sz w:val="15"/>
                <w:szCs w:val="15"/>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1"/>
              </w:rPr>
              <w:t>3</w:t>
            </w:r>
          </w:p>
        </w:tc>
      </w:tr>
      <w:tr>
        <w:trPr>
          <w:trHeight w:val="197"/>
        </w:trPr>
        <w:tc>
          <w:tcPr>
            <w:tcW w:w="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Loan 74</w:t>
            </w:r>
          </w:p>
        </w:tc>
        <w:tc>
          <w:tcPr>
            <w:tcW w:w="8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Senior</w:t>
            </w:r>
          </w:p>
        </w:tc>
        <w:tc>
          <w:tcPr>
            <w:tcW w:w="8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5"/>
              </w:rPr>
              <w:t>3/8/2022</w:t>
            </w:r>
          </w:p>
        </w:tc>
        <w:tc>
          <w:tcPr>
            <w:tcW w:w="100" w:type="dxa"/>
            <w:vAlign w:val="bottom"/>
            <w:shd w:val="clear" w:color="auto" w:fill="CCEEFF"/>
          </w:tcPr>
          <w:p>
            <w:pPr>
              <w:spacing w:after="0"/>
              <w:rPr>
                <w:sz w:val="17"/>
                <w:szCs w:val="17"/>
                <w:color w:val="auto"/>
              </w:rPr>
            </w:pPr>
          </w:p>
        </w:tc>
        <w:tc>
          <w:tcPr>
            <w:tcW w:w="14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Glendale, AZ</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11,664</w:t>
            </w: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11,664</w:t>
            </w:r>
          </w:p>
        </w:tc>
        <w:tc>
          <w:tcPr>
            <w:tcW w:w="8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3"/>
                <w:szCs w:val="13"/>
                <w:color w:val="auto"/>
                <w:w w:val="96"/>
              </w:rPr>
              <w:t>Floating</w:t>
            </w:r>
          </w:p>
        </w:tc>
        <w:tc>
          <w:tcPr>
            <w:tcW w:w="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5"/>
              </w:rPr>
              <w:t>3.5%</w:t>
            </w: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7.4%</w:t>
            </w: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5"/>
              </w:rPr>
              <w:t>3/9/2027</w:t>
            </w: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73%</w:t>
            </w: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1"/>
              </w:rPr>
              <w:t>3</w:t>
            </w:r>
          </w:p>
        </w:tc>
      </w:tr>
    </w:tbl>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9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gridSpan w:val="2"/>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w w:val="98"/>
              </w:rPr>
              <w:t>Origination</w:t>
            </w:r>
          </w:p>
        </w:tc>
        <w:tc>
          <w:tcPr>
            <w:tcW w:w="1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gridSpan w:val="2"/>
          </w:tcPr>
          <w:p>
            <w:pPr>
              <w:ind w:left="160"/>
              <w:spacing w:after="0"/>
              <w:rPr>
                <w:sz w:val="20"/>
                <w:szCs w:val="20"/>
                <w:color w:val="auto"/>
              </w:rPr>
            </w:pPr>
            <w:r>
              <w:rPr>
                <w:rFonts w:ascii="Times New Roman" w:cs="Times New Roman" w:eastAsia="Times New Roman" w:hAnsi="Times New Roman"/>
                <w:sz w:val="13"/>
                <w:szCs w:val="13"/>
                <w:b w:val="1"/>
                <w:bCs w:val="1"/>
                <w:color w:val="auto"/>
              </w:rPr>
              <w:t>Carrying</w:t>
            </w:r>
          </w:p>
        </w:tc>
        <w:tc>
          <w:tcPr>
            <w:tcW w:w="800" w:type="dxa"/>
            <w:vAlign w:val="bottom"/>
          </w:tcPr>
          <w:p>
            <w:pPr>
              <w:jc w:val="right"/>
              <w:ind w:right="97"/>
              <w:spacing w:after="0"/>
              <w:rPr>
                <w:sz w:val="20"/>
                <w:szCs w:val="20"/>
                <w:color w:val="auto"/>
              </w:rPr>
            </w:pPr>
            <w:r>
              <w:rPr>
                <w:rFonts w:ascii="Times New Roman" w:cs="Times New Roman" w:eastAsia="Times New Roman" w:hAnsi="Times New Roman"/>
                <w:sz w:val="13"/>
                <w:szCs w:val="13"/>
                <w:b w:val="1"/>
                <w:bCs w:val="1"/>
                <w:color w:val="auto"/>
              </w:rPr>
              <w:t>Principal</w:t>
            </w:r>
          </w:p>
        </w:tc>
        <w:tc>
          <w:tcPr>
            <w:tcW w:w="80" w:type="dxa"/>
            <w:vAlign w:val="bottom"/>
          </w:tcPr>
          <w:p>
            <w:pPr>
              <w:spacing w:after="0"/>
              <w:rPr>
                <w:sz w:val="12"/>
                <w:szCs w:val="12"/>
                <w:color w:val="auto"/>
              </w:rPr>
            </w:pPr>
          </w:p>
        </w:tc>
        <w:tc>
          <w:tcPr>
            <w:tcW w:w="800" w:type="dxa"/>
            <w:vAlign w:val="bottom"/>
            <w:gridSpan w:val="2"/>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w w:val="99"/>
              </w:rPr>
              <w:t>Coupon</w:t>
            </w:r>
          </w:p>
        </w:tc>
        <w:tc>
          <w:tcPr>
            <w:tcW w:w="880" w:type="dxa"/>
            <w:vAlign w:val="bottom"/>
            <w:gridSpan w:val="2"/>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w w:val="99"/>
              </w:rPr>
              <w:t>Cash</w:t>
            </w:r>
          </w:p>
        </w:tc>
        <w:tc>
          <w:tcPr>
            <w:tcW w:w="90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w w:val="96"/>
              </w:rPr>
              <w:t>Unlevered all-</w:t>
            </w:r>
          </w:p>
        </w:tc>
        <w:tc>
          <w:tcPr>
            <w:tcW w:w="90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w w:val="98"/>
              </w:rPr>
              <w:t>Extended</w:t>
            </w:r>
          </w:p>
        </w:tc>
        <w:tc>
          <w:tcPr>
            <w:tcW w:w="94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w w:val="99"/>
              </w:rPr>
              <w:t>Loan-to-</w:t>
            </w:r>
          </w:p>
        </w:tc>
        <w:tc>
          <w:tcPr>
            <w:tcW w:w="84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Q3 Risk</w:t>
            </w:r>
          </w:p>
        </w:tc>
        <w:tc>
          <w:tcPr>
            <w:tcW w:w="0" w:type="dxa"/>
            <w:vAlign w:val="bottom"/>
          </w:tcPr>
          <w:p>
            <w:pPr>
              <w:spacing w:after="0"/>
              <w:rPr>
                <w:sz w:val="1"/>
                <w:szCs w:val="1"/>
                <w:color w:val="auto"/>
              </w:rPr>
            </w:pPr>
          </w:p>
        </w:tc>
      </w:tr>
      <w:tr>
        <w:trPr>
          <w:trHeight w:val="189"/>
        </w:trPr>
        <w:tc>
          <w:tcPr>
            <w:tcW w:w="900" w:type="dxa"/>
            <w:vAlign w:val="bottom"/>
          </w:tcPr>
          <w:p>
            <w:pPr>
              <w:spacing w:after="0"/>
              <w:rPr>
                <w:sz w:val="16"/>
                <w:szCs w:val="16"/>
                <w:color w:val="auto"/>
              </w:rPr>
            </w:pPr>
          </w:p>
        </w:tc>
        <w:tc>
          <w:tcPr>
            <w:tcW w:w="80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3"/>
                <w:szCs w:val="13"/>
                <w:b w:val="1"/>
                <w:bCs w:val="1"/>
                <w:color w:val="auto"/>
              </w:rPr>
              <w:t>Loan Type</w:t>
            </w:r>
          </w:p>
        </w:tc>
        <w:tc>
          <w:tcPr>
            <w:tcW w:w="80" w:type="dxa"/>
            <w:vAlign w:val="bottom"/>
          </w:tcPr>
          <w:p>
            <w:pPr>
              <w:spacing w:after="0"/>
              <w:rPr>
                <w:sz w:val="16"/>
                <w:szCs w:val="16"/>
                <w:color w:val="auto"/>
              </w:rPr>
            </w:pPr>
          </w:p>
        </w:tc>
        <w:tc>
          <w:tcPr>
            <w:tcW w:w="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9"/>
              </w:rPr>
              <w:t>Date</w:t>
            </w:r>
          </w:p>
        </w:tc>
        <w:tc>
          <w:tcPr>
            <w:tcW w:w="100" w:type="dxa"/>
            <w:vAlign w:val="bottom"/>
          </w:tcPr>
          <w:p>
            <w:pPr>
              <w:spacing w:after="0"/>
              <w:rPr>
                <w:sz w:val="16"/>
                <w:szCs w:val="16"/>
                <w:color w:val="auto"/>
              </w:rPr>
            </w:pPr>
          </w:p>
        </w:tc>
        <w:tc>
          <w:tcPr>
            <w:tcW w:w="1340" w:type="dxa"/>
            <w:vAlign w:val="bottom"/>
            <w:tcBorders>
              <w:bottom w:val="single" w:sz="8" w:color="auto"/>
            </w:tcBorders>
          </w:tcPr>
          <w:p>
            <w:pPr>
              <w:ind w:left="380"/>
              <w:spacing w:after="0"/>
              <w:rPr>
                <w:sz w:val="20"/>
                <w:szCs w:val="20"/>
                <w:color w:val="auto"/>
              </w:rPr>
            </w:pPr>
            <w:r>
              <w:rPr>
                <w:rFonts w:ascii="Times New Roman" w:cs="Times New Roman" w:eastAsia="Times New Roman" w:hAnsi="Times New Roman"/>
                <w:sz w:val="13"/>
                <w:szCs w:val="13"/>
                <w:b w:val="1"/>
                <w:bCs w:val="1"/>
                <w:color w:val="auto"/>
              </w:rPr>
              <w:t>City, State</w:t>
            </w:r>
          </w:p>
        </w:tc>
        <w:tc>
          <w:tcPr>
            <w:tcW w:w="80" w:type="dxa"/>
            <w:vAlign w:val="bottom"/>
          </w:tcPr>
          <w:p>
            <w:pPr>
              <w:spacing w:after="0"/>
              <w:rPr>
                <w:sz w:val="16"/>
                <w:szCs w:val="16"/>
                <w:color w:val="auto"/>
              </w:rPr>
            </w:pPr>
          </w:p>
        </w:tc>
        <w:tc>
          <w:tcPr>
            <w:tcW w:w="800" w:type="dxa"/>
            <w:vAlign w:val="bottom"/>
            <w:tcBorders>
              <w:bottom w:val="single" w:sz="8" w:color="auto"/>
            </w:tcBorders>
          </w:tcPr>
          <w:p>
            <w:pPr>
              <w:jc w:val="right"/>
              <w:ind w:right="137"/>
              <w:spacing w:after="0"/>
              <w:rPr>
                <w:sz w:val="20"/>
                <w:szCs w:val="20"/>
                <w:color w:val="auto"/>
              </w:rPr>
            </w:pPr>
            <w:r>
              <w:rPr>
                <w:rFonts w:ascii="Times New Roman" w:cs="Times New Roman" w:eastAsia="Times New Roman" w:hAnsi="Times New Roman"/>
                <w:sz w:val="13"/>
                <w:szCs w:val="13"/>
                <w:b w:val="1"/>
                <w:bCs w:val="1"/>
                <w:color w:val="auto"/>
              </w:rPr>
              <w:t>value</w:t>
            </w:r>
            <w:r>
              <w:rPr>
                <w:rFonts w:ascii="Times New Roman" w:cs="Times New Roman" w:eastAsia="Times New Roman" w:hAnsi="Times New Roman"/>
                <w:sz w:val="16"/>
                <w:szCs w:val="16"/>
                <w:b w:val="1"/>
                <w:bCs w:val="1"/>
                <w:color w:val="auto"/>
                <w:vertAlign w:val="superscript"/>
              </w:rPr>
              <w:t>(1)</w:t>
            </w:r>
          </w:p>
        </w:tc>
        <w:tc>
          <w:tcPr>
            <w:tcW w:w="100" w:type="dxa"/>
            <w:vAlign w:val="bottom"/>
          </w:tcPr>
          <w:p>
            <w:pPr>
              <w:spacing w:after="0"/>
              <w:rPr>
                <w:sz w:val="16"/>
                <w:szCs w:val="16"/>
                <w:color w:val="auto"/>
              </w:rPr>
            </w:pPr>
          </w:p>
        </w:tc>
        <w:tc>
          <w:tcPr>
            <w:tcW w:w="800" w:type="dxa"/>
            <w:vAlign w:val="bottom"/>
            <w:tcBorders>
              <w:bottom w:val="single" w:sz="8" w:color="auto"/>
            </w:tcBorders>
          </w:tcPr>
          <w:p>
            <w:pPr>
              <w:jc w:val="right"/>
              <w:ind w:right="137"/>
              <w:spacing w:after="0"/>
              <w:rPr>
                <w:sz w:val="20"/>
                <w:szCs w:val="20"/>
                <w:color w:val="auto"/>
              </w:rPr>
            </w:pPr>
            <w:r>
              <w:rPr>
                <w:rFonts w:ascii="Times New Roman" w:cs="Times New Roman" w:eastAsia="Times New Roman" w:hAnsi="Times New Roman"/>
                <w:sz w:val="13"/>
                <w:szCs w:val="13"/>
                <w:b w:val="1"/>
                <w:bCs w:val="1"/>
                <w:color w:val="auto"/>
              </w:rPr>
              <w:t>balance</w:t>
            </w:r>
          </w:p>
        </w:tc>
        <w:tc>
          <w:tcPr>
            <w:tcW w:w="80" w:type="dxa"/>
            <w:vAlign w:val="bottom"/>
          </w:tcPr>
          <w:p>
            <w:pPr>
              <w:spacing w:after="0"/>
              <w:rPr>
                <w:sz w:val="16"/>
                <w:szCs w:val="16"/>
                <w:color w:val="auto"/>
              </w:rPr>
            </w:pPr>
          </w:p>
        </w:tc>
        <w:tc>
          <w:tcPr>
            <w:tcW w:w="7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rPr>
              <w:t>type</w:t>
            </w:r>
          </w:p>
        </w:tc>
        <w:tc>
          <w:tcPr>
            <w:tcW w:w="80" w:type="dxa"/>
            <w:vAlign w:val="bottom"/>
          </w:tcPr>
          <w:p>
            <w:pPr>
              <w:spacing w:after="0"/>
              <w:rPr>
                <w:sz w:val="16"/>
                <w:szCs w:val="16"/>
                <w:color w:val="auto"/>
              </w:rPr>
            </w:pPr>
          </w:p>
        </w:tc>
        <w:tc>
          <w:tcPr>
            <w:tcW w:w="7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1"/>
              </w:rPr>
              <w:t>Coupon</w:t>
            </w:r>
            <w:r>
              <w:rPr>
                <w:rFonts w:ascii="Times New Roman" w:cs="Times New Roman" w:eastAsia="Times New Roman" w:hAnsi="Times New Roman"/>
                <w:sz w:val="16"/>
                <w:szCs w:val="16"/>
                <w:b w:val="1"/>
                <w:bCs w:val="1"/>
                <w:color w:val="auto"/>
                <w:w w:val="91"/>
                <w:vertAlign w:val="superscript"/>
              </w:rPr>
              <w:t>(2)</w:t>
            </w:r>
          </w:p>
        </w:tc>
        <w:tc>
          <w:tcPr>
            <w:tcW w:w="100" w:type="dxa"/>
            <w:vAlign w:val="bottom"/>
          </w:tcPr>
          <w:p>
            <w:pPr>
              <w:spacing w:after="0"/>
              <w:rPr>
                <w:sz w:val="16"/>
                <w:szCs w:val="16"/>
                <w:color w:val="auto"/>
              </w:rPr>
            </w:pPr>
          </w:p>
        </w:tc>
        <w:tc>
          <w:tcPr>
            <w:tcW w:w="8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0"/>
              </w:rPr>
              <w:t>in yield</w:t>
            </w:r>
            <w:r>
              <w:rPr>
                <w:rFonts w:ascii="Times New Roman" w:cs="Times New Roman" w:eastAsia="Times New Roman" w:hAnsi="Times New Roman"/>
                <w:sz w:val="16"/>
                <w:szCs w:val="16"/>
                <w:b w:val="1"/>
                <w:bCs w:val="1"/>
                <w:color w:val="auto"/>
                <w:w w:val="90"/>
                <w:vertAlign w:val="superscript"/>
              </w:rPr>
              <w:t>(3)</w:t>
            </w:r>
          </w:p>
        </w:tc>
        <w:tc>
          <w:tcPr>
            <w:tcW w:w="100" w:type="dxa"/>
            <w:vAlign w:val="bottom"/>
          </w:tcPr>
          <w:p>
            <w:pPr>
              <w:spacing w:after="0"/>
              <w:rPr>
                <w:sz w:val="16"/>
                <w:szCs w:val="16"/>
                <w:color w:val="auto"/>
              </w:rPr>
            </w:pPr>
          </w:p>
        </w:tc>
        <w:tc>
          <w:tcPr>
            <w:tcW w:w="8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maturity date</w:t>
            </w:r>
          </w:p>
        </w:tc>
        <w:tc>
          <w:tcPr>
            <w:tcW w:w="100" w:type="dxa"/>
            <w:vAlign w:val="bottom"/>
          </w:tcPr>
          <w:p>
            <w:pPr>
              <w:spacing w:after="0"/>
              <w:rPr>
                <w:sz w:val="16"/>
                <w:szCs w:val="16"/>
                <w:color w:val="auto"/>
              </w:rPr>
            </w:pPr>
          </w:p>
        </w:tc>
        <w:tc>
          <w:tcPr>
            <w:tcW w:w="8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0"/>
              </w:rPr>
              <w:t>value</w:t>
            </w:r>
            <w:r>
              <w:rPr>
                <w:rFonts w:ascii="Times New Roman" w:cs="Times New Roman" w:eastAsia="Times New Roman" w:hAnsi="Times New Roman"/>
                <w:sz w:val="16"/>
                <w:szCs w:val="16"/>
                <w:b w:val="1"/>
                <w:bCs w:val="1"/>
                <w:color w:val="auto"/>
                <w:w w:val="90"/>
                <w:vertAlign w:val="superscript"/>
              </w:rPr>
              <w:t>(4)</w:t>
            </w:r>
          </w:p>
        </w:tc>
        <w:tc>
          <w:tcPr>
            <w:tcW w:w="100" w:type="dxa"/>
            <w:vAlign w:val="bottom"/>
          </w:tcPr>
          <w:p>
            <w:pPr>
              <w:spacing w:after="0"/>
              <w:rPr>
                <w:sz w:val="16"/>
                <w:szCs w:val="16"/>
                <w:color w:val="auto"/>
              </w:rPr>
            </w:pPr>
          </w:p>
        </w:tc>
        <w:tc>
          <w:tcPr>
            <w:tcW w:w="8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1"/>
              </w:rPr>
              <w:t>ranking</w:t>
            </w:r>
            <w:r>
              <w:rPr>
                <w:rFonts w:ascii="Times New Roman" w:cs="Times New Roman" w:eastAsia="Times New Roman" w:hAnsi="Times New Roman"/>
                <w:sz w:val="16"/>
                <w:szCs w:val="16"/>
                <w:b w:val="1"/>
                <w:bCs w:val="1"/>
                <w:color w:val="auto"/>
                <w:w w:val="91"/>
                <w:vertAlign w:val="superscript"/>
              </w:rPr>
              <w:t>(5)</w:t>
            </w:r>
          </w:p>
        </w:tc>
        <w:tc>
          <w:tcPr>
            <w:tcW w:w="0" w:type="dxa"/>
            <w:vAlign w:val="bottom"/>
          </w:tcPr>
          <w:p>
            <w:pPr>
              <w:spacing w:after="0"/>
              <w:rPr>
                <w:sz w:val="1"/>
                <w:szCs w:val="1"/>
                <w:color w:val="auto"/>
              </w:rPr>
            </w:pPr>
          </w:p>
        </w:tc>
      </w:tr>
      <w:tr>
        <w:trPr>
          <w:trHeight w:val="269"/>
        </w:trPr>
        <w:tc>
          <w:tcPr>
            <w:tcW w:w="9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Loan 75</w:t>
            </w:r>
          </w:p>
        </w:tc>
        <w:tc>
          <w:tcPr>
            <w:tcW w:w="88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Senior</w:t>
            </w:r>
          </w:p>
        </w:tc>
        <w:tc>
          <w:tcPr>
            <w:tcW w:w="90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7"/>
              </w:rPr>
              <w:t>12/19/2025</w:t>
            </w:r>
          </w:p>
        </w:tc>
        <w:tc>
          <w:tcPr>
            <w:tcW w:w="100" w:type="dxa"/>
            <w:vAlign w:val="bottom"/>
          </w:tcPr>
          <w:p>
            <w:pPr>
              <w:spacing w:after="0"/>
              <w:rPr>
                <w:sz w:val="23"/>
                <w:szCs w:val="23"/>
                <w:color w:val="auto"/>
              </w:rPr>
            </w:pPr>
          </w:p>
        </w:tc>
        <w:tc>
          <w:tcPr>
            <w:tcW w:w="142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Mesa, AZ</w:t>
            </w: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11,504</w:t>
            </w:r>
          </w:p>
        </w:tc>
        <w:tc>
          <w:tcPr>
            <w:tcW w:w="10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11,605</w:t>
            </w:r>
          </w:p>
        </w:tc>
        <w:tc>
          <w:tcPr>
            <w:tcW w:w="80" w:type="dxa"/>
            <w:vAlign w:val="bottom"/>
          </w:tcPr>
          <w:p>
            <w:pPr>
              <w:spacing w:after="0"/>
              <w:rPr>
                <w:sz w:val="23"/>
                <w:szCs w:val="23"/>
                <w:color w:val="auto"/>
              </w:rPr>
            </w:pPr>
          </w:p>
        </w:tc>
        <w:tc>
          <w:tcPr>
            <w:tcW w:w="80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color w:val="auto"/>
                <w:w w:val="96"/>
              </w:rPr>
              <w:t>Floating</w:t>
            </w:r>
          </w:p>
        </w:tc>
        <w:tc>
          <w:tcPr>
            <w:tcW w:w="78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5"/>
              </w:rPr>
              <w:t>2.8%</w:t>
            </w:r>
          </w:p>
        </w:tc>
        <w:tc>
          <w:tcPr>
            <w:tcW w:w="100" w:type="dxa"/>
            <w:vAlign w:val="bottom"/>
          </w:tcPr>
          <w:p>
            <w:pPr>
              <w:spacing w:after="0"/>
              <w:rPr>
                <w:sz w:val="23"/>
                <w:szCs w:val="23"/>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7.0%</w:t>
            </w:r>
          </w:p>
        </w:tc>
        <w:tc>
          <w:tcPr>
            <w:tcW w:w="100" w:type="dxa"/>
            <w:vAlign w:val="bottom"/>
          </w:tcPr>
          <w:p>
            <w:pPr>
              <w:spacing w:after="0"/>
              <w:rPr>
                <w:sz w:val="23"/>
                <w:szCs w:val="23"/>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5"/>
              </w:rPr>
              <w:t>1/9/2031</w:t>
            </w:r>
          </w:p>
        </w:tc>
        <w:tc>
          <w:tcPr>
            <w:tcW w:w="100" w:type="dxa"/>
            <w:vAlign w:val="bottom"/>
          </w:tcPr>
          <w:p>
            <w:pPr>
              <w:spacing w:after="0"/>
              <w:rPr>
                <w:sz w:val="23"/>
                <w:szCs w:val="23"/>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70%</w:t>
            </w:r>
          </w:p>
        </w:tc>
        <w:tc>
          <w:tcPr>
            <w:tcW w:w="100" w:type="dxa"/>
            <w:vAlign w:val="bottom"/>
          </w:tcPr>
          <w:p>
            <w:pPr>
              <w:spacing w:after="0"/>
              <w:rPr>
                <w:sz w:val="23"/>
                <w:szCs w:val="23"/>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1"/>
              </w:rPr>
              <w:t>3</w:t>
            </w:r>
          </w:p>
        </w:tc>
        <w:tc>
          <w:tcPr>
            <w:tcW w:w="0" w:type="dxa"/>
            <w:vAlign w:val="bottom"/>
          </w:tcPr>
          <w:p>
            <w:pPr>
              <w:spacing w:after="0"/>
              <w:rPr>
                <w:sz w:val="1"/>
                <w:szCs w:val="1"/>
                <w:color w:val="auto"/>
              </w:rPr>
            </w:pPr>
          </w:p>
        </w:tc>
      </w:tr>
      <w:tr>
        <w:trPr>
          <w:trHeight w:val="197"/>
        </w:trPr>
        <w:tc>
          <w:tcPr>
            <w:tcW w:w="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Loan 76</w:t>
            </w:r>
            <w:r>
              <w:rPr>
                <w:rFonts w:ascii="Times New Roman" w:cs="Times New Roman" w:eastAsia="Times New Roman" w:hAnsi="Times New Roman"/>
                <w:sz w:val="16"/>
                <w:szCs w:val="16"/>
                <w:color w:val="auto"/>
                <w:vertAlign w:val="superscript"/>
              </w:rPr>
              <w:t>(6)</w:t>
            </w:r>
          </w:p>
        </w:tc>
        <w:tc>
          <w:tcPr>
            <w:tcW w:w="8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Preferred</w:t>
            </w: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5"/>
              </w:rPr>
              <w:t>5/9/2025</w:t>
            </w:r>
          </w:p>
        </w:tc>
        <w:tc>
          <w:tcPr>
            <w:tcW w:w="100" w:type="dxa"/>
            <w:vAlign w:val="bottom"/>
            <w:shd w:val="clear" w:color="auto" w:fill="CCEEFF"/>
          </w:tcPr>
          <w:p>
            <w:pPr>
              <w:spacing w:after="0"/>
              <w:rPr>
                <w:sz w:val="17"/>
                <w:szCs w:val="17"/>
                <w:color w:val="auto"/>
              </w:rPr>
            </w:pPr>
          </w:p>
        </w:tc>
        <w:tc>
          <w:tcPr>
            <w:tcW w:w="14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Phoenix, AZ</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2,349</w:t>
            </w: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2,349</w:t>
            </w:r>
          </w:p>
        </w:tc>
        <w:tc>
          <w:tcPr>
            <w:tcW w:w="8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3"/>
                <w:szCs w:val="13"/>
                <w:color w:val="auto"/>
                <w:w w:val="94"/>
              </w:rPr>
              <w:t>Fixed</w:t>
            </w:r>
          </w:p>
        </w:tc>
        <w:tc>
          <w:tcPr>
            <w:tcW w:w="88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3"/>
                <w:szCs w:val="13"/>
                <w:color w:val="auto"/>
                <w:w w:val="84"/>
              </w:rPr>
              <w:t>n/a</w:t>
            </w:r>
            <w:r>
              <w:rPr>
                <w:rFonts w:ascii="Times New Roman" w:cs="Times New Roman" w:eastAsia="Times New Roman" w:hAnsi="Times New Roman"/>
                <w:sz w:val="16"/>
                <w:szCs w:val="16"/>
                <w:color w:val="auto"/>
                <w:w w:val="84"/>
                <w:vertAlign w:val="superscript"/>
              </w:rPr>
              <w:t>(6)</w:t>
            </w:r>
          </w:p>
        </w:tc>
        <w:tc>
          <w:tcPr>
            <w:tcW w:w="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5"/>
              </w:rPr>
              <w:t>14.0%</w:t>
            </w: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5"/>
              </w:rPr>
              <w:t>4/9/2027</w:t>
            </w:r>
          </w:p>
        </w:tc>
        <w:tc>
          <w:tcPr>
            <w:tcW w:w="10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3"/>
                <w:szCs w:val="13"/>
                <w:color w:val="auto"/>
              </w:rPr>
              <w:t>n/a</w:t>
            </w:r>
          </w:p>
        </w:tc>
        <w:tc>
          <w:tcPr>
            <w:tcW w:w="8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1"/>
              </w:rPr>
              <w:t>3</w:t>
            </w:r>
          </w:p>
        </w:tc>
        <w:tc>
          <w:tcPr>
            <w:tcW w:w="0" w:type="dxa"/>
            <w:vAlign w:val="bottom"/>
          </w:tcPr>
          <w:p>
            <w:pPr>
              <w:spacing w:after="0"/>
              <w:rPr>
                <w:sz w:val="1"/>
                <w:szCs w:val="1"/>
                <w:color w:val="auto"/>
              </w:rPr>
            </w:pPr>
          </w:p>
        </w:tc>
      </w:tr>
      <w:tr>
        <w:trPr>
          <w:trHeight w:val="189"/>
        </w:trPr>
        <w:tc>
          <w:tcPr>
            <w:tcW w:w="9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Loan 77</w:t>
            </w:r>
            <w:r>
              <w:rPr>
                <w:rFonts w:ascii="Times New Roman" w:cs="Times New Roman" w:eastAsia="Times New Roman" w:hAnsi="Times New Roman"/>
                <w:sz w:val="16"/>
                <w:szCs w:val="16"/>
                <w:color w:val="auto"/>
                <w:vertAlign w:val="superscript"/>
              </w:rPr>
              <w:t>(6)</w:t>
            </w:r>
          </w:p>
        </w:tc>
        <w:tc>
          <w:tcPr>
            <w:tcW w:w="88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Preferred</w:t>
            </w:r>
          </w:p>
        </w:tc>
        <w:tc>
          <w:tcPr>
            <w:tcW w:w="90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5"/>
              </w:rPr>
              <w:t>5/9/2025</w:t>
            </w:r>
          </w:p>
        </w:tc>
        <w:tc>
          <w:tcPr>
            <w:tcW w:w="100" w:type="dxa"/>
            <w:vAlign w:val="bottom"/>
          </w:tcPr>
          <w:p>
            <w:pPr>
              <w:spacing w:after="0"/>
              <w:rPr>
                <w:sz w:val="16"/>
                <w:szCs w:val="16"/>
                <w:color w:val="auto"/>
              </w:rPr>
            </w:pPr>
          </w:p>
        </w:tc>
        <w:tc>
          <w:tcPr>
            <w:tcW w:w="142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Mesa, AZ</w:t>
            </w: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2,328</w:t>
            </w:r>
          </w:p>
        </w:tc>
        <w:tc>
          <w:tcPr>
            <w:tcW w:w="1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2,328</w:t>
            </w:r>
          </w:p>
        </w:tc>
        <w:tc>
          <w:tcPr>
            <w:tcW w:w="80" w:type="dxa"/>
            <w:vAlign w:val="bottom"/>
          </w:tcPr>
          <w:p>
            <w:pPr>
              <w:spacing w:after="0"/>
              <w:rPr>
                <w:sz w:val="16"/>
                <w:szCs w:val="16"/>
                <w:color w:val="auto"/>
              </w:rPr>
            </w:pPr>
          </w:p>
        </w:tc>
        <w:tc>
          <w:tcPr>
            <w:tcW w:w="800" w:type="dxa"/>
            <w:vAlign w:val="bottom"/>
            <w:gridSpan w:val="2"/>
          </w:tcPr>
          <w:p>
            <w:pPr>
              <w:jc w:val="center"/>
              <w:ind w:right="80"/>
              <w:spacing w:after="0"/>
              <w:rPr>
                <w:sz w:val="20"/>
                <w:szCs w:val="20"/>
                <w:color w:val="auto"/>
              </w:rPr>
            </w:pPr>
            <w:r>
              <w:rPr>
                <w:rFonts w:ascii="Times New Roman" w:cs="Times New Roman" w:eastAsia="Times New Roman" w:hAnsi="Times New Roman"/>
                <w:sz w:val="13"/>
                <w:szCs w:val="13"/>
                <w:color w:val="auto"/>
                <w:w w:val="94"/>
              </w:rPr>
              <w:t>Fixed</w:t>
            </w:r>
          </w:p>
        </w:tc>
        <w:tc>
          <w:tcPr>
            <w:tcW w:w="880" w:type="dxa"/>
            <w:vAlign w:val="bottom"/>
            <w:gridSpan w:val="2"/>
          </w:tcPr>
          <w:p>
            <w:pPr>
              <w:jc w:val="center"/>
              <w:ind w:right="80"/>
              <w:spacing w:after="0"/>
              <w:rPr>
                <w:sz w:val="20"/>
                <w:szCs w:val="20"/>
                <w:color w:val="auto"/>
              </w:rPr>
            </w:pPr>
            <w:r>
              <w:rPr>
                <w:rFonts w:ascii="Times New Roman" w:cs="Times New Roman" w:eastAsia="Times New Roman" w:hAnsi="Times New Roman"/>
                <w:sz w:val="13"/>
                <w:szCs w:val="13"/>
                <w:color w:val="auto"/>
                <w:w w:val="84"/>
              </w:rPr>
              <w:t>n/a</w:t>
            </w:r>
            <w:r>
              <w:rPr>
                <w:rFonts w:ascii="Times New Roman" w:cs="Times New Roman" w:eastAsia="Times New Roman" w:hAnsi="Times New Roman"/>
                <w:sz w:val="16"/>
                <w:szCs w:val="16"/>
                <w:color w:val="auto"/>
                <w:w w:val="84"/>
                <w:vertAlign w:val="superscript"/>
              </w:rPr>
              <w:t>(6)</w:t>
            </w:r>
          </w:p>
        </w:tc>
        <w:tc>
          <w:tcPr>
            <w:tcW w:w="80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5"/>
              </w:rPr>
              <w:t>14.0%</w:t>
            </w:r>
          </w:p>
        </w:tc>
        <w:tc>
          <w:tcPr>
            <w:tcW w:w="100" w:type="dxa"/>
            <w:vAlign w:val="bottom"/>
          </w:tcPr>
          <w:p>
            <w:pPr>
              <w:spacing w:after="0"/>
              <w:rPr>
                <w:sz w:val="16"/>
                <w:szCs w:val="16"/>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5"/>
              </w:rPr>
              <w:t>5/9/2027</w:t>
            </w:r>
          </w:p>
        </w:tc>
        <w:tc>
          <w:tcPr>
            <w:tcW w:w="100" w:type="dxa"/>
            <w:vAlign w:val="bottom"/>
          </w:tcPr>
          <w:p>
            <w:pPr>
              <w:spacing w:after="0"/>
              <w:rPr>
                <w:sz w:val="16"/>
                <w:szCs w:val="16"/>
                <w:color w:val="auto"/>
              </w:rPr>
            </w:pPr>
          </w:p>
        </w:tc>
        <w:tc>
          <w:tcPr>
            <w:tcW w:w="94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color w:val="auto"/>
              </w:rPr>
              <w:t>n/a</w:t>
            </w:r>
          </w:p>
        </w:tc>
        <w:tc>
          <w:tcPr>
            <w:tcW w:w="84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1"/>
              </w:rPr>
              <w:t>3</w:t>
            </w:r>
          </w:p>
        </w:tc>
        <w:tc>
          <w:tcPr>
            <w:tcW w:w="0" w:type="dxa"/>
            <w:vAlign w:val="bottom"/>
          </w:tcPr>
          <w:p>
            <w:pPr>
              <w:spacing w:after="0"/>
              <w:rPr>
                <w:sz w:val="1"/>
                <w:szCs w:val="1"/>
                <w:color w:val="auto"/>
              </w:rPr>
            </w:pPr>
          </w:p>
        </w:tc>
      </w:tr>
      <w:tr>
        <w:trPr>
          <w:trHeight w:val="189"/>
        </w:trPr>
        <w:tc>
          <w:tcPr>
            <w:tcW w:w="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Loan 78</w:t>
            </w:r>
            <w:r>
              <w:rPr>
                <w:rFonts w:ascii="Times New Roman" w:cs="Times New Roman" w:eastAsia="Times New Roman" w:hAnsi="Times New Roman"/>
                <w:sz w:val="16"/>
                <w:szCs w:val="16"/>
                <w:color w:val="auto"/>
                <w:vertAlign w:val="superscript"/>
              </w:rPr>
              <w:t>(6)</w:t>
            </w:r>
          </w:p>
        </w:tc>
        <w:tc>
          <w:tcPr>
            <w:tcW w:w="8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Preferred</w:t>
            </w: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5"/>
              </w:rPr>
              <w:t>5/9/2025</w:t>
            </w:r>
          </w:p>
        </w:tc>
        <w:tc>
          <w:tcPr>
            <w:tcW w:w="100" w:type="dxa"/>
            <w:vAlign w:val="bottom"/>
            <w:shd w:val="clear" w:color="auto" w:fill="CCEEFF"/>
          </w:tcPr>
          <w:p>
            <w:pPr>
              <w:spacing w:after="0"/>
              <w:rPr>
                <w:sz w:val="16"/>
                <w:szCs w:val="16"/>
                <w:color w:val="auto"/>
              </w:rPr>
            </w:pPr>
          </w:p>
        </w:tc>
        <w:tc>
          <w:tcPr>
            <w:tcW w:w="14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Glendale, AZ</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2,228</w:t>
            </w: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2,228</w:t>
            </w:r>
          </w:p>
        </w:tc>
        <w:tc>
          <w:tcPr>
            <w:tcW w:w="8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3"/>
                <w:szCs w:val="13"/>
                <w:color w:val="auto"/>
                <w:w w:val="94"/>
              </w:rPr>
              <w:t>Fixed</w:t>
            </w:r>
          </w:p>
        </w:tc>
        <w:tc>
          <w:tcPr>
            <w:tcW w:w="88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3"/>
                <w:szCs w:val="13"/>
                <w:color w:val="auto"/>
                <w:w w:val="84"/>
              </w:rPr>
              <w:t>n/a</w:t>
            </w:r>
            <w:r>
              <w:rPr>
                <w:rFonts w:ascii="Times New Roman" w:cs="Times New Roman" w:eastAsia="Times New Roman" w:hAnsi="Times New Roman"/>
                <w:sz w:val="16"/>
                <w:szCs w:val="16"/>
                <w:color w:val="auto"/>
                <w:w w:val="84"/>
                <w:vertAlign w:val="superscript"/>
              </w:rPr>
              <w:t>(6)</w:t>
            </w:r>
          </w:p>
        </w:tc>
        <w:tc>
          <w:tcPr>
            <w:tcW w:w="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5"/>
              </w:rPr>
              <w:t>14.0%</w:t>
            </w: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5"/>
              </w:rPr>
              <w:t>3/9/2027</w:t>
            </w:r>
          </w:p>
        </w:tc>
        <w:tc>
          <w:tcPr>
            <w:tcW w:w="10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3"/>
                <w:szCs w:val="13"/>
                <w:color w:val="auto"/>
              </w:rPr>
              <w:t>n/a</w:t>
            </w:r>
          </w:p>
        </w:tc>
        <w:tc>
          <w:tcPr>
            <w:tcW w:w="8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1"/>
              </w:rPr>
              <w:t>3</w:t>
            </w:r>
          </w:p>
        </w:tc>
        <w:tc>
          <w:tcPr>
            <w:tcW w:w="0" w:type="dxa"/>
            <w:vAlign w:val="bottom"/>
          </w:tcPr>
          <w:p>
            <w:pPr>
              <w:spacing w:after="0"/>
              <w:rPr>
                <w:sz w:val="1"/>
                <w:szCs w:val="1"/>
                <w:color w:val="auto"/>
              </w:rPr>
            </w:pPr>
          </w:p>
        </w:tc>
      </w:tr>
      <w:tr>
        <w:trPr>
          <w:trHeight w:val="189"/>
        </w:trPr>
        <w:tc>
          <w:tcPr>
            <w:tcW w:w="9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Loan 79</w:t>
            </w:r>
            <w:r>
              <w:rPr>
                <w:rFonts w:ascii="Times New Roman" w:cs="Times New Roman" w:eastAsia="Times New Roman" w:hAnsi="Times New Roman"/>
                <w:sz w:val="16"/>
                <w:szCs w:val="16"/>
                <w:color w:val="auto"/>
                <w:vertAlign w:val="superscript"/>
              </w:rPr>
              <w:t>(6)</w:t>
            </w:r>
          </w:p>
        </w:tc>
        <w:tc>
          <w:tcPr>
            <w:tcW w:w="88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Preferred</w:t>
            </w:r>
          </w:p>
        </w:tc>
        <w:tc>
          <w:tcPr>
            <w:tcW w:w="90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5"/>
              </w:rPr>
              <w:t>5/9/2025</w:t>
            </w:r>
          </w:p>
        </w:tc>
        <w:tc>
          <w:tcPr>
            <w:tcW w:w="100" w:type="dxa"/>
            <w:vAlign w:val="bottom"/>
          </w:tcPr>
          <w:p>
            <w:pPr>
              <w:spacing w:after="0"/>
              <w:rPr>
                <w:sz w:val="16"/>
                <w:szCs w:val="16"/>
                <w:color w:val="auto"/>
              </w:rPr>
            </w:pPr>
          </w:p>
        </w:tc>
        <w:tc>
          <w:tcPr>
            <w:tcW w:w="142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Phoenix, AZ</w:t>
            </w: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2,059</w:t>
            </w:r>
          </w:p>
        </w:tc>
        <w:tc>
          <w:tcPr>
            <w:tcW w:w="1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2,059</w:t>
            </w:r>
          </w:p>
        </w:tc>
        <w:tc>
          <w:tcPr>
            <w:tcW w:w="80" w:type="dxa"/>
            <w:vAlign w:val="bottom"/>
          </w:tcPr>
          <w:p>
            <w:pPr>
              <w:spacing w:after="0"/>
              <w:rPr>
                <w:sz w:val="16"/>
                <w:szCs w:val="16"/>
                <w:color w:val="auto"/>
              </w:rPr>
            </w:pPr>
          </w:p>
        </w:tc>
        <w:tc>
          <w:tcPr>
            <w:tcW w:w="800" w:type="dxa"/>
            <w:vAlign w:val="bottom"/>
            <w:gridSpan w:val="2"/>
          </w:tcPr>
          <w:p>
            <w:pPr>
              <w:jc w:val="center"/>
              <w:ind w:right="80"/>
              <w:spacing w:after="0"/>
              <w:rPr>
                <w:sz w:val="20"/>
                <w:szCs w:val="20"/>
                <w:color w:val="auto"/>
              </w:rPr>
            </w:pPr>
            <w:r>
              <w:rPr>
                <w:rFonts w:ascii="Times New Roman" w:cs="Times New Roman" w:eastAsia="Times New Roman" w:hAnsi="Times New Roman"/>
                <w:sz w:val="13"/>
                <w:szCs w:val="13"/>
                <w:color w:val="auto"/>
                <w:w w:val="94"/>
              </w:rPr>
              <w:t>Fixed</w:t>
            </w:r>
          </w:p>
        </w:tc>
        <w:tc>
          <w:tcPr>
            <w:tcW w:w="880" w:type="dxa"/>
            <w:vAlign w:val="bottom"/>
            <w:gridSpan w:val="2"/>
          </w:tcPr>
          <w:p>
            <w:pPr>
              <w:jc w:val="center"/>
              <w:ind w:right="80"/>
              <w:spacing w:after="0" w:line="189" w:lineRule="exact"/>
              <w:rPr>
                <w:sz w:val="20"/>
                <w:szCs w:val="20"/>
                <w:color w:val="auto"/>
              </w:rPr>
            </w:pPr>
            <w:r>
              <w:rPr>
                <w:rFonts w:ascii="Times New Roman" w:cs="Times New Roman" w:eastAsia="Times New Roman" w:hAnsi="Times New Roman"/>
                <w:sz w:val="21"/>
                <w:szCs w:val="21"/>
                <w:color w:val="auto"/>
                <w:w w:val="90"/>
                <w:vertAlign w:val="subscript"/>
              </w:rPr>
              <w:t>n/a</w:t>
            </w:r>
            <w:r>
              <w:rPr>
                <w:rFonts w:ascii="Times New Roman" w:cs="Times New Roman" w:eastAsia="Times New Roman" w:hAnsi="Times New Roman"/>
                <w:sz w:val="8"/>
                <w:szCs w:val="8"/>
                <w:color w:val="auto"/>
                <w:w w:val="90"/>
              </w:rPr>
              <w:t>(6)</w:t>
            </w:r>
          </w:p>
        </w:tc>
        <w:tc>
          <w:tcPr>
            <w:tcW w:w="80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5"/>
              </w:rPr>
              <w:t>14.0%</w:t>
            </w:r>
          </w:p>
        </w:tc>
        <w:tc>
          <w:tcPr>
            <w:tcW w:w="100" w:type="dxa"/>
            <w:vAlign w:val="bottom"/>
          </w:tcPr>
          <w:p>
            <w:pPr>
              <w:spacing w:after="0"/>
              <w:rPr>
                <w:sz w:val="16"/>
                <w:szCs w:val="16"/>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5"/>
              </w:rPr>
              <w:t>1/9/2027</w:t>
            </w:r>
          </w:p>
        </w:tc>
        <w:tc>
          <w:tcPr>
            <w:tcW w:w="100" w:type="dxa"/>
            <w:vAlign w:val="bottom"/>
          </w:tcPr>
          <w:p>
            <w:pPr>
              <w:spacing w:after="0"/>
              <w:rPr>
                <w:sz w:val="16"/>
                <w:szCs w:val="16"/>
                <w:color w:val="auto"/>
              </w:rPr>
            </w:pPr>
          </w:p>
        </w:tc>
        <w:tc>
          <w:tcPr>
            <w:tcW w:w="94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color w:val="auto"/>
              </w:rPr>
              <w:t>n/a</w:t>
            </w:r>
          </w:p>
        </w:tc>
        <w:tc>
          <w:tcPr>
            <w:tcW w:w="84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1"/>
              </w:rPr>
              <w:t>3</w:t>
            </w:r>
          </w:p>
        </w:tc>
        <w:tc>
          <w:tcPr>
            <w:tcW w:w="0" w:type="dxa"/>
            <w:vAlign w:val="bottom"/>
          </w:tcPr>
          <w:p>
            <w:pPr>
              <w:spacing w:after="0"/>
              <w:rPr>
                <w:sz w:val="1"/>
                <w:szCs w:val="1"/>
                <w:color w:val="auto"/>
              </w:rPr>
            </w:pPr>
          </w:p>
        </w:tc>
      </w:tr>
      <w:tr>
        <w:trPr>
          <w:trHeight w:val="189"/>
        </w:trPr>
        <w:tc>
          <w:tcPr>
            <w:tcW w:w="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Loan 80</w:t>
            </w:r>
            <w:r>
              <w:rPr>
                <w:rFonts w:ascii="Times New Roman" w:cs="Times New Roman" w:eastAsia="Times New Roman" w:hAnsi="Times New Roman"/>
                <w:sz w:val="16"/>
                <w:szCs w:val="16"/>
                <w:color w:val="auto"/>
                <w:vertAlign w:val="superscript"/>
              </w:rPr>
              <w:t>(6)</w:t>
            </w:r>
          </w:p>
        </w:tc>
        <w:tc>
          <w:tcPr>
            <w:tcW w:w="8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Preferred</w:t>
            </w: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5"/>
              </w:rPr>
              <w:t>5/9/2025</w:t>
            </w:r>
          </w:p>
        </w:tc>
        <w:tc>
          <w:tcPr>
            <w:tcW w:w="100" w:type="dxa"/>
            <w:vAlign w:val="bottom"/>
            <w:shd w:val="clear" w:color="auto" w:fill="CCEEFF"/>
          </w:tcPr>
          <w:p>
            <w:pPr>
              <w:spacing w:after="0"/>
              <w:rPr>
                <w:sz w:val="16"/>
                <w:szCs w:val="16"/>
                <w:color w:val="auto"/>
              </w:rPr>
            </w:pPr>
          </w:p>
        </w:tc>
        <w:tc>
          <w:tcPr>
            <w:tcW w:w="14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Phoenix, AZ</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2,001</w:t>
            </w: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2,001</w:t>
            </w:r>
          </w:p>
        </w:tc>
        <w:tc>
          <w:tcPr>
            <w:tcW w:w="8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3"/>
                <w:szCs w:val="13"/>
                <w:color w:val="auto"/>
                <w:w w:val="94"/>
              </w:rPr>
              <w:t>Fixed</w:t>
            </w:r>
          </w:p>
        </w:tc>
        <w:tc>
          <w:tcPr>
            <w:tcW w:w="880" w:type="dxa"/>
            <w:vAlign w:val="bottom"/>
            <w:gridSpan w:val="2"/>
            <w:shd w:val="clear" w:color="auto" w:fill="CCEEFF"/>
          </w:tcPr>
          <w:p>
            <w:pPr>
              <w:jc w:val="center"/>
              <w:ind w:right="80"/>
              <w:spacing w:after="0" w:line="189" w:lineRule="exact"/>
              <w:rPr>
                <w:sz w:val="20"/>
                <w:szCs w:val="20"/>
                <w:color w:val="auto"/>
              </w:rPr>
            </w:pPr>
            <w:r>
              <w:rPr>
                <w:rFonts w:ascii="Times New Roman" w:cs="Times New Roman" w:eastAsia="Times New Roman" w:hAnsi="Times New Roman"/>
                <w:sz w:val="21"/>
                <w:szCs w:val="21"/>
                <w:color w:val="auto"/>
                <w:w w:val="90"/>
                <w:vertAlign w:val="subscript"/>
              </w:rPr>
              <w:t>n/a</w:t>
            </w:r>
            <w:r>
              <w:rPr>
                <w:rFonts w:ascii="Times New Roman" w:cs="Times New Roman" w:eastAsia="Times New Roman" w:hAnsi="Times New Roman"/>
                <w:sz w:val="8"/>
                <w:szCs w:val="8"/>
                <w:color w:val="auto"/>
                <w:w w:val="90"/>
              </w:rPr>
              <w:t>(6)</w:t>
            </w:r>
          </w:p>
        </w:tc>
        <w:tc>
          <w:tcPr>
            <w:tcW w:w="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5"/>
              </w:rPr>
              <w:t>14.0%</w:t>
            </w: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5"/>
              </w:rPr>
              <w:t>1/9/2027</w:t>
            </w:r>
          </w:p>
        </w:tc>
        <w:tc>
          <w:tcPr>
            <w:tcW w:w="10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3"/>
                <w:szCs w:val="13"/>
                <w:color w:val="auto"/>
              </w:rPr>
              <w:t>n/a</w:t>
            </w:r>
          </w:p>
        </w:tc>
        <w:tc>
          <w:tcPr>
            <w:tcW w:w="8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1"/>
              </w:rPr>
              <w:t>3</w:t>
            </w:r>
          </w:p>
        </w:tc>
        <w:tc>
          <w:tcPr>
            <w:tcW w:w="0" w:type="dxa"/>
            <w:vAlign w:val="bottom"/>
          </w:tcPr>
          <w:p>
            <w:pPr>
              <w:spacing w:after="0"/>
              <w:rPr>
                <w:sz w:val="1"/>
                <w:szCs w:val="1"/>
                <w:color w:val="auto"/>
              </w:rPr>
            </w:pPr>
          </w:p>
        </w:tc>
      </w:tr>
      <w:tr>
        <w:trPr>
          <w:trHeight w:val="189"/>
        </w:trPr>
        <w:tc>
          <w:tcPr>
            <w:tcW w:w="9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Loan 81</w:t>
            </w:r>
            <w:r>
              <w:rPr>
                <w:rFonts w:ascii="Times New Roman" w:cs="Times New Roman" w:eastAsia="Times New Roman" w:hAnsi="Times New Roman"/>
                <w:sz w:val="16"/>
                <w:szCs w:val="16"/>
                <w:color w:val="auto"/>
                <w:vertAlign w:val="superscript"/>
              </w:rPr>
              <w:t>(6)</w:t>
            </w:r>
          </w:p>
        </w:tc>
        <w:tc>
          <w:tcPr>
            <w:tcW w:w="88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Preferred</w:t>
            </w:r>
          </w:p>
        </w:tc>
        <w:tc>
          <w:tcPr>
            <w:tcW w:w="90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5"/>
              </w:rPr>
              <w:t>5/9/2025</w:t>
            </w:r>
          </w:p>
        </w:tc>
        <w:tc>
          <w:tcPr>
            <w:tcW w:w="100" w:type="dxa"/>
            <w:vAlign w:val="bottom"/>
          </w:tcPr>
          <w:p>
            <w:pPr>
              <w:spacing w:after="0"/>
              <w:rPr>
                <w:sz w:val="16"/>
                <w:szCs w:val="16"/>
                <w:color w:val="auto"/>
              </w:rPr>
            </w:pPr>
          </w:p>
        </w:tc>
        <w:tc>
          <w:tcPr>
            <w:tcW w:w="142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Phoenix, AZ</w:t>
            </w: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1,817</w:t>
            </w:r>
          </w:p>
        </w:tc>
        <w:tc>
          <w:tcPr>
            <w:tcW w:w="1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1,817</w:t>
            </w:r>
          </w:p>
        </w:tc>
        <w:tc>
          <w:tcPr>
            <w:tcW w:w="80" w:type="dxa"/>
            <w:vAlign w:val="bottom"/>
          </w:tcPr>
          <w:p>
            <w:pPr>
              <w:spacing w:after="0"/>
              <w:rPr>
                <w:sz w:val="16"/>
                <w:szCs w:val="16"/>
                <w:color w:val="auto"/>
              </w:rPr>
            </w:pPr>
          </w:p>
        </w:tc>
        <w:tc>
          <w:tcPr>
            <w:tcW w:w="800" w:type="dxa"/>
            <w:vAlign w:val="bottom"/>
            <w:gridSpan w:val="2"/>
          </w:tcPr>
          <w:p>
            <w:pPr>
              <w:jc w:val="center"/>
              <w:ind w:right="80"/>
              <w:spacing w:after="0"/>
              <w:rPr>
                <w:sz w:val="20"/>
                <w:szCs w:val="20"/>
                <w:color w:val="auto"/>
              </w:rPr>
            </w:pPr>
            <w:r>
              <w:rPr>
                <w:rFonts w:ascii="Times New Roman" w:cs="Times New Roman" w:eastAsia="Times New Roman" w:hAnsi="Times New Roman"/>
                <w:sz w:val="13"/>
                <w:szCs w:val="13"/>
                <w:color w:val="auto"/>
                <w:w w:val="94"/>
              </w:rPr>
              <w:t>Fixed</w:t>
            </w:r>
          </w:p>
        </w:tc>
        <w:tc>
          <w:tcPr>
            <w:tcW w:w="880" w:type="dxa"/>
            <w:vAlign w:val="bottom"/>
            <w:gridSpan w:val="2"/>
          </w:tcPr>
          <w:p>
            <w:pPr>
              <w:jc w:val="center"/>
              <w:ind w:right="80"/>
              <w:spacing w:after="0"/>
              <w:rPr>
                <w:sz w:val="20"/>
                <w:szCs w:val="20"/>
                <w:color w:val="auto"/>
              </w:rPr>
            </w:pPr>
            <w:r>
              <w:rPr>
                <w:rFonts w:ascii="Times New Roman" w:cs="Times New Roman" w:eastAsia="Times New Roman" w:hAnsi="Times New Roman"/>
                <w:sz w:val="13"/>
                <w:szCs w:val="13"/>
                <w:color w:val="auto"/>
                <w:w w:val="84"/>
              </w:rPr>
              <w:t>n/a</w:t>
            </w:r>
            <w:r>
              <w:rPr>
                <w:rFonts w:ascii="Times New Roman" w:cs="Times New Roman" w:eastAsia="Times New Roman" w:hAnsi="Times New Roman"/>
                <w:sz w:val="16"/>
                <w:szCs w:val="16"/>
                <w:color w:val="auto"/>
                <w:w w:val="84"/>
                <w:vertAlign w:val="superscript"/>
              </w:rPr>
              <w:t>(6)</w:t>
            </w:r>
          </w:p>
        </w:tc>
        <w:tc>
          <w:tcPr>
            <w:tcW w:w="80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5"/>
              </w:rPr>
              <w:t>14.0%</w:t>
            </w:r>
          </w:p>
        </w:tc>
        <w:tc>
          <w:tcPr>
            <w:tcW w:w="100" w:type="dxa"/>
            <w:vAlign w:val="bottom"/>
          </w:tcPr>
          <w:p>
            <w:pPr>
              <w:spacing w:after="0"/>
              <w:rPr>
                <w:sz w:val="16"/>
                <w:szCs w:val="16"/>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5"/>
              </w:rPr>
              <w:t>1/9/2027</w:t>
            </w:r>
          </w:p>
        </w:tc>
        <w:tc>
          <w:tcPr>
            <w:tcW w:w="100" w:type="dxa"/>
            <w:vAlign w:val="bottom"/>
          </w:tcPr>
          <w:p>
            <w:pPr>
              <w:spacing w:after="0"/>
              <w:rPr>
                <w:sz w:val="16"/>
                <w:szCs w:val="16"/>
                <w:color w:val="auto"/>
              </w:rPr>
            </w:pPr>
          </w:p>
        </w:tc>
        <w:tc>
          <w:tcPr>
            <w:tcW w:w="94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color w:val="auto"/>
              </w:rPr>
              <w:t>n/a</w:t>
            </w:r>
          </w:p>
        </w:tc>
        <w:tc>
          <w:tcPr>
            <w:tcW w:w="84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1"/>
              </w:rPr>
              <w:t>3</w:t>
            </w:r>
          </w:p>
        </w:tc>
        <w:tc>
          <w:tcPr>
            <w:tcW w:w="0" w:type="dxa"/>
            <w:vAlign w:val="bottom"/>
          </w:tcPr>
          <w:p>
            <w:pPr>
              <w:spacing w:after="0"/>
              <w:rPr>
                <w:sz w:val="1"/>
                <w:szCs w:val="1"/>
                <w:color w:val="auto"/>
              </w:rPr>
            </w:pPr>
          </w:p>
        </w:tc>
      </w:tr>
      <w:tr>
        <w:trPr>
          <w:trHeight w:val="189"/>
        </w:trPr>
        <w:tc>
          <w:tcPr>
            <w:tcW w:w="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Loan 82</w:t>
            </w:r>
            <w:r>
              <w:rPr>
                <w:rFonts w:ascii="Times New Roman" w:cs="Times New Roman" w:eastAsia="Times New Roman" w:hAnsi="Times New Roman"/>
                <w:sz w:val="16"/>
                <w:szCs w:val="16"/>
                <w:color w:val="auto"/>
                <w:vertAlign w:val="superscript"/>
              </w:rPr>
              <w:t>(7)</w:t>
            </w:r>
          </w:p>
        </w:tc>
        <w:tc>
          <w:tcPr>
            <w:tcW w:w="8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Preferred</w:t>
            </w: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7"/>
              </w:rPr>
              <w:t>12/23/2025</w:t>
            </w:r>
          </w:p>
        </w:tc>
        <w:tc>
          <w:tcPr>
            <w:tcW w:w="100" w:type="dxa"/>
            <w:vAlign w:val="bottom"/>
            <w:shd w:val="clear" w:color="auto" w:fill="CCEEFF"/>
          </w:tcPr>
          <w:p>
            <w:pPr>
              <w:spacing w:after="0"/>
              <w:rPr>
                <w:sz w:val="16"/>
                <w:szCs w:val="16"/>
                <w:color w:val="auto"/>
              </w:rPr>
            </w:pPr>
          </w:p>
        </w:tc>
        <w:tc>
          <w:tcPr>
            <w:tcW w:w="14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Austin, TX</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1,500</w:t>
            </w: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1,500</w:t>
            </w:r>
          </w:p>
        </w:tc>
        <w:tc>
          <w:tcPr>
            <w:tcW w:w="8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3"/>
                <w:szCs w:val="13"/>
                <w:color w:val="auto"/>
                <w:w w:val="94"/>
              </w:rPr>
              <w:t>Fixed</w:t>
            </w:r>
          </w:p>
        </w:tc>
        <w:tc>
          <w:tcPr>
            <w:tcW w:w="88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3"/>
                <w:szCs w:val="13"/>
                <w:color w:val="auto"/>
                <w:w w:val="84"/>
              </w:rPr>
              <w:t>n/a</w:t>
            </w:r>
            <w:r>
              <w:rPr>
                <w:rFonts w:ascii="Times New Roman" w:cs="Times New Roman" w:eastAsia="Times New Roman" w:hAnsi="Times New Roman"/>
                <w:sz w:val="16"/>
                <w:szCs w:val="16"/>
                <w:color w:val="auto"/>
                <w:w w:val="84"/>
                <w:vertAlign w:val="superscript"/>
              </w:rPr>
              <w:t>(7)</w:t>
            </w:r>
          </w:p>
        </w:tc>
        <w:tc>
          <w:tcPr>
            <w:tcW w:w="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5"/>
              </w:rPr>
              <w:t>15.0%</w:t>
            </w: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8"/>
              </w:rPr>
              <w:t>11/9/2026</w:t>
            </w:r>
          </w:p>
        </w:tc>
        <w:tc>
          <w:tcPr>
            <w:tcW w:w="10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3"/>
                <w:szCs w:val="13"/>
                <w:color w:val="auto"/>
              </w:rPr>
              <w:t>n/a</w:t>
            </w:r>
          </w:p>
        </w:tc>
        <w:tc>
          <w:tcPr>
            <w:tcW w:w="8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1"/>
              </w:rPr>
              <w:t>4</w:t>
            </w:r>
          </w:p>
        </w:tc>
        <w:tc>
          <w:tcPr>
            <w:tcW w:w="0" w:type="dxa"/>
            <w:vAlign w:val="bottom"/>
          </w:tcPr>
          <w:p>
            <w:pPr>
              <w:spacing w:after="0"/>
              <w:rPr>
                <w:sz w:val="1"/>
                <w:szCs w:val="1"/>
                <w:color w:val="auto"/>
              </w:rPr>
            </w:pPr>
          </w:p>
        </w:tc>
      </w:tr>
      <w:tr>
        <w:trPr>
          <w:trHeight w:val="189"/>
        </w:trPr>
        <w:tc>
          <w:tcPr>
            <w:tcW w:w="9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Loan 83</w:t>
            </w:r>
            <w:r>
              <w:rPr>
                <w:rFonts w:ascii="Times New Roman" w:cs="Times New Roman" w:eastAsia="Times New Roman" w:hAnsi="Times New Roman"/>
                <w:sz w:val="16"/>
                <w:szCs w:val="16"/>
                <w:color w:val="auto"/>
                <w:vertAlign w:val="superscript"/>
              </w:rPr>
              <w:t>(8)</w:t>
            </w:r>
          </w:p>
        </w:tc>
        <w:tc>
          <w:tcPr>
            <w:tcW w:w="88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Preferred</w:t>
            </w:r>
          </w:p>
        </w:tc>
        <w:tc>
          <w:tcPr>
            <w:tcW w:w="90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5"/>
              </w:rPr>
              <w:t>7/7/2026</w:t>
            </w:r>
          </w:p>
        </w:tc>
        <w:tc>
          <w:tcPr>
            <w:tcW w:w="100" w:type="dxa"/>
            <w:vAlign w:val="bottom"/>
          </w:tcPr>
          <w:p>
            <w:pPr>
              <w:spacing w:after="0"/>
              <w:rPr>
                <w:sz w:val="16"/>
                <w:szCs w:val="16"/>
                <w:color w:val="auto"/>
              </w:rPr>
            </w:pPr>
          </w:p>
        </w:tc>
        <w:tc>
          <w:tcPr>
            <w:tcW w:w="142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Las Vegas, NV</w:t>
            </w: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912</w:t>
            </w:r>
          </w:p>
        </w:tc>
        <w:tc>
          <w:tcPr>
            <w:tcW w:w="1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912</w:t>
            </w:r>
          </w:p>
        </w:tc>
        <w:tc>
          <w:tcPr>
            <w:tcW w:w="80" w:type="dxa"/>
            <w:vAlign w:val="bottom"/>
          </w:tcPr>
          <w:p>
            <w:pPr>
              <w:spacing w:after="0"/>
              <w:rPr>
                <w:sz w:val="16"/>
                <w:szCs w:val="16"/>
                <w:color w:val="auto"/>
              </w:rPr>
            </w:pPr>
          </w:p>
        </w:tc>
        <w:tc>
          <w:tcPr>
            <w:tcW w:w="800" w:type="dxa"/>
            <w:vAlign w:val="bottom"/>
            <w:gridSpan w:val="2"/>
          </w:tcPr>
          <w:p>
            <w:pPr>
              <w:jc w:val="center"/>
              <w:ind w:right="80"/>
              <w:spacing w:after="0"/>
              <w:rPr>
                <w:sz w:val="20"/>
                <w:szCs w:val="20"/>
                <w:color w:val="auto"/>
              </w:rPr>
            </w:pPr>
            <w:r>
              <w:rPr>
                <w:rFonts w:ascii="Times New Roman" w:cs="Times New Roman" w:eastAsia="Times New Roman" w:hAnsi="Times New Roman"/>
                <w:sz w:val="13"/>
                <w:szCs w:val="13"/>
                <w:color w:val="auto"/>
                <w:w w:val="94"/>
              </w:rPr>
              <w:t>Fixed</w:t>
            </w:r>
          </w:p>
        </w:tc>
        <w:tc>
          <w:tcPr>
            <w:tcW w:w="880" w:type="dxa"/>
            <w:vAlign w:val="bottom"/>
            <w:gridSpan w:val="2"/>
          </w:tcPr>
          <w:p>
            <w:pPr>
              <w:jc w:val="center"/>
              <w:ind w:right="80"/>
              <w:spacing w:after="0"/>
              <w:rPr>
                <w:sz w:val="20"/>
                <w:szCs w:val="20"/>
                <w:color w:val="auto"/>
              </w:rPr>
            </w:pPr>
            <w:r>
              <w:rPr>
                <w:rFonts w:ascii="Times New Roman" w:cs="Times New Roman" w:eastAsia="Times New Roman" w:hAnsi="Times New Roman"/>
                <w:sz w:val="13"/>
                <w:szCs w:val="13"/>
                <w:color w:val="auto"/>
                <w:w w:val="84"/>
              </w:rPr>
              <w:t>n/a</w:t>
            </w:r>
            <w:r>
              <w:rPr>
                <w:rFonts w:ascii="Times New Roman" w:cs="Times New Roman" w:eastAsia="Times New Roman" w:hAnsi="Times New Roman"/>
                <w:sz w:val="16"/>
                <w:szCs w:val="16"/>
                <w:color w:val="auto"/>
                <w:w w:val="84"/>
                <w:vertAlign w:val="superscript"/>
              </w:rPr>
              <w:t>(8)</w:t>
            </w:r>
          </w:p>
        </w:tc>
        <w:tc>
          <w:tcPr>
            <w:tcW w:w="80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5"/>
              </w:rPr>
              <w:t>10.0%</w:t>
            </w:r>
          </w:p>
        </w:tc>
        <w:tc>
          <w:tcPr>
            <w:tcW w:w="100" w:type="dxa"/>
            <w:vAlign w:val="bottom"/>
          </w:tcPr>
          <w:p>
            <w:pPr>
              <w:spacing w:after="0"/>
              <w:rPr>
                <w:sz w:val="16"/>
                <w:szCs w:val="16"/>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5"/>
              </w:rPr>
              <w:t>6/9/2027</w:t>
            </w:r>
          </w:p>
        </w:tc>
        <w:tc>
          <w:tcPr>
            <w:tcW w:w="100" w:type="dxa"/>
            <w:vAlign w:val="bottom"/>
          </w:tcPr>
          <w:p>
            <w:pPr>
              <w:spacing w:after="0"/>
              <w:rPr>
                <w:sz w:val="16"/>
                <w:szCs w:val="16"/>
                <w:color w:val="auto"/>
              </w:rPr>
            </w:pPr>
          </w:p>
        </w:tc>
        <w:tc>
          <w:tcPr>
            <w:tcW w:w="94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color w:val="auto"/>
              </w:rPr>
              <w:t>n/a</w:t>
            </w:r>
          </w:p>
        </w:tc>
        <w:tc>
          <w:tcPr>
            <w:tcW w:w="84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1"/>
              </w:rPr>
              <w:t>4</w:t>
            </w:r>
          </w:p>
        </w:tc>
        <w:tc>
          <w:tcPr>
            <w:tcW w:w="0" w:type="dxa"/>
            <w:vAlign w:val="bottom"/>
          </w:tcPr>
          <w:p>
            <w:pPr>
              <w:spacing w:after="0"/>
              <w:rPr>
                <w:sz w:val="1"/>
                <w:szCs w:val="1"/>
                <w:color w:val="auto"/>
              </w:rPr>
            </w:pPr>
          </w:p>
        </w:tc>
      </w:tr>
      <w:tr>
        <w:trPr>
          <w:trHeight w:val="189"/>
        </w:trPr>
        <w:tc>
          <w:tcPr>
            <w:tcW w:w="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Loan 84</w:t>
            </w:r>
            <w:r>
              <w:rPr>
                <w:rFonts w:ascii="Times New Roman" w:cs="Times New Roman" w:eastAsia="Times New Roman" w:hAnsi="Times New Roman"/>
                <w:sz w:val="16"/>
                <w:szCs w:val="16"/>
                <w:color w:val="auto"/>
                <w:vertAlign w:val="superscript"/>
              </w:rPr>
              <w:t>(7)</w:t>
            </w:r>
          </w:p>
        </w:tc>
        <w:tc>
          <w:tcPr>
            <w:tcW w:w="8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Preferred</w:t>
            </w: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8"/>
              </w:rPr>
              <w:t>2/18/2026</w:t>
            </w:r>
          </w:p>
        </w:tc>
        <w:tc>
          <w:tcPr>
            <w:tcW w:w="100" w:type="dxa"/>
            <w:vAlign w:val="bottom"/>
            <w:shd w:val="clear" w:color="auto" w:fill="CCEEFF"/>
          </w:tcPr>
          <w:p>
            <w:pPr>
              <w:spacing w:after="0"/>
              <w:rPr>
                <w:sz w:val="16"/>
                <w:szCs w:val="16"/>
                <w:color w:val="auto"/>
              </w:rPr>
            </w:pPr>
          </w:p>
        </w:tc>
        <w:tc>
          <w:tcPr>
            <w:tcW w:w="14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Austin, TX</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728</w:t>
            </w:r>
          </w:p>
        </w:tc>
        <w:tc>
          <w:tcPr>
            <w:tcW w:w="100" w:type="dxa"/>
            <w:vAlign w:val="bottom"/>
            <w:shd w:val="clear" w:color="auto" w:fill="CCEEFF"/>
          </w:tcPr>
          <w:p>
            <w:pPr>
              <w:spacing w:after="0"/>
              <w:rPr>
                <w:sz w:val="16"/>
                <w:szCs w:val="16"/>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728</w:t>
            </w:r>
          </w:p>
        </w:tc>
        <w:tc>
          <w:tcPr>
            <w:tcW w:w="8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3"/>
                <w:szCs w:val="13"/>
                <w:color w:val="auto"/>
                <w:w w:val="94"/>
              </w:rPr>
              <w:t>Fixed</w:t>
            </w:r>
          </w:p>
        </w:tc>
        <w:tc>
          <w:tcPr>
            <w:tcW w:w="88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3"/>
                <w:szCs w:val="13"/>
                <w:color w:val="auto"/>
                <w:w w:val="84"/>
              </w:rPr>
              <w:t>n/a</w:t>
            </w:r>
            <w:r>
              <w:rPr>
                <w:rFonts w:ascii="Times New Roman" w:cs="Times New Roman" w:eastAsia="Times New Roman" w:hAnsi="Times New Roman"/>
                <w:sz w:val="16"/>
                <w:szCs w:val="16"/>
                <w:color w:val="auto"/>
                <w:w w:val="84"/>
                <w:vertAlign w:val="superscript"/>
              </w:rPr>
              <w:t>(7)</w:t>
            </w:r>
          </w:p>
        </w:tc>
        <w:tc>
          <w:tcPr>
            <w:tcW w:w="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5"/>
              </w:rPr>
              <w:t>15.0%</w:t>
            </w: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5"/>
              </w:rPr>
              <w:t>2/9/2027</w:t>
            </w:r>
          </w:p>
        </w:tc>
        <w:tc>
          <w:tcPr>
            <w:tcW w:w="10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3"/>
                <w:szCs w:val="13"/>
                <w:color w:val="auto"/>
              </w:rPr>
              <w:t>n/a</w:t>
            </w:r>
          </w:p>
        </w:tc>
        <w:tc>
          <w:tcPr>
            <w:tcW w:w="8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1"/>
              </w:rPr>
              <w:t>3</w:t>
            </w:r>
          </w:p>
        </w:tc>
        <w:tc>
          <w:tcPr>
            <w:tcW w:w="0" w:type="dxa"/>
            <w:vAlign w:val="bottom"/>
          </w:tcPr>
          <w:p>
            <w:pPr>
              <w:spacing w:after="0"/>
              <w:rPr>
                <w:sz w:val="1"/>
                <w:szCs w:val="1"/>
                <w:color w:val="auto"/>
              </w:rPr>
            </w:pPr>
          </w:p>
        </w:tc>
      </w:tr>
      <w:tr>
        <w:trPr>
          <w:trHeight w:val="115"/>
        </w:trPr>
        <w:tc>
          <w:tcPr>
            <w:tcW w:w="2780" w:type="dxa"/>
            <w:vAlign w:val="bottom"/>
            <w:gridSpan w:val="5"/>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Total/Weighted average multifamily loans</w:t>
            </w:r>
          </w:p>
        </w:tc>
        <w:tc>
          <w:tcPr>
            <w:tcW w:w="13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gridSpan w:val="2"/>
          </w:tcPr>
          <w:p>
            <w:pPr>
              <w:ind w:left="20"/>
              <w:spacing w:after="0" w:line="115" w:lineRule="exact"/>
              <w:rPr>
                <w:sz w:val="20"/>
                <w:szCs w:val="20"/>
                <w:color w:val="auto"/>
              </w:rPr>
            </w:pPr>
            <w:r>
              <w:rPr>
                <w:rFonts w:ascii="Times New Roman" w:cs="Times New Roman" w:eastAsia="Times New Roman" w:hAnsi="Times New Roman"/>
                <w:sz w:val="13"/>
                <w:szCs w:val="13"/>
                <w:color w:val="auto"/>
              </w:rPr>
              <w:t>72% of total</w:t>
            </w:r>
          </w:p>
        </w:tc>
        <w:tc>
          <w:tcPr>
            <w:tcW w:w="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3"/>
        </w:trPr>
        <w:tc>
          <w:tcPr>
            <w:tcW w:w="2780" w:type="dxa"/>
            <w:vAlign w:val="bottom"/>
            <w:tcBorders>
              <w:bottom w:val="single" w:sz="8" w:color="CCEEFF"/>
            </w:tcBorders>
            <w:gridSpan w:val="5"/>
            <w:vMerge w:val="continue"/>
          </w:tcPr>
          <w:p>
            <w:pPr>
              <w:spacing w:after="0"/>
              <w:rPr>
                <w:sz w:val="15"/>
                <w:szCs w:val="15"/>
                <w:color w:val="auto"/>
              </w:rPr>
            </w:pPr>
          </w:p>
        </w:tc>
        <w:tc>
          <w:tcPr>
            <w:tcW w:w="134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   2,218,987</w:t>
            </w:r>
          </w:p>
        </w:tc>
        <w:tc>
          <w:tcPr>
            <w:tcW w:w="100" w:type="dxa"/>
            <w:vAlign w:val="bottom"/>
            <w:tcBorders>
              <w:bottom w:val="single" w:sz="8" w:color="CCEEFF"/>
            </w:tcBorders>
          </w:tcPr>
          <w:p>
            <w:pPr>
              <w:spacing w:after="0"/>
              <w:rPr>
                <w:sz w:val="15"/>
                <w:szCs w:val="15"/>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   2,225,983</w:t>
            </w:r>
          </w:p>
        </w:tc>
        <w:tc>
          <w:tcPr>
            <w:tcW w:w="80" w:type="dxa"/>
            <w:vAlign w:val="bottom"/>
            <w:tcBorders>
              <w:bottom w:val="single" w:sz="8" w:color="CCEEFF"/>
            </w:tcBorders>
          </w:tcPr>
          <w:p>
            <w:pPr>
              <w:spacing w:after="0"/>
              <w:rPr>
                <w:sz w:val="15"/>
                <w:szCs w:val="15"/>
                <w:color w:val="auto"/>
              </w:rPr>
            </w:pPr>
          </w:p>
        </w:tc>
        <w:tc>
          <w:tcPr>
            <w:tcW w:w="80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3"/>
                <w:szCs w:val="13"/>
                <w:color w:val="auto"/>
              </w:rPr>
              <w:t>loans</w:t>
            </w:r>
          </w:p>
        </w:tc>
        <w:tc>
          <w:tcPr>
            <w:tcW w:w="780" w:type="dxa"/>
            <w:vAlign w:val="bottom"/>
            <w:tcBorders>
              <w:bottom w:val="single" w:sz="8" w:color="CCEEFF"/>
            </w:tcBorders>
          </w:tcPr>
          <w:p>
            <w:pPr>
              <w:jc w:val="center"/>
              <w:spacing w:after="0"/>
              <w:rPr>
                <w:sz w:val="20"/>
                <w:szCs w:val="20"/>
                <w:color w:val="auto"/>
              </w:rPr>
            </w:pPr>
            <w:r>
              <w:rPr>
                <w:rFonts w:ascii="Times New Roman" w:cs="Times New Roman" w:eastAsia="Times New Roman" w:hAnsi="Times New Roman"/>
                <w:sz w:val="13"/>
                <w:szCs w:val="13"/>
                <w:color w:val="auto"/>
                <w:w w:val="95"/>
              </w:rPr>
              <w:t>2.8%</w:t>
            </w:r>
          </w:p>
        </w:tc>
        <w:tc>
          <w:tcPr>
            <w:tcW w:w="100" w:type="dxa"/>
            <w:vAlign w:val="bottom"/>
            <w:tcBorders>
              <w:bottom w:val="single" w:sz="8" w:color="CCEEFF"/>
            </w:tcBorders>
          </w:tcPr>
          <w:p>
            <w:pPr>
              <w:spacing w:after="0"/>
              <w:rPr>
                <w:sz w:val="15"/>
                <w:szCs w:val="15"/>
                <w:color w:val="auto"/>
              </w:rPr>
            </w:pPr>
          </w:p>
        </w:tc>
        <w:tc>
          <w:tcPr>
            <w:tcW w:w="800" w:type="dxa"/>
            <w:vAlign w:val="bottom"/>
            <w:tcBorders>
              <w:bottom w:val="single" w:sz="8" w:color="CCEEFF"/>
            </w:tcBorders>
          </w:tcPr>
          <w:p>
            <w:pPr>
              <w:jc w:val="center"/>
              <w:spacing w:after="0"/>
              <w:rPr>
                <w:sz w:val="20"/>
                <w:szCs w:val="20"/>
                <w:color w:val="auto"/>
              </w:rPr>
            </w:pPr>
            <w:r>
              <w:rPr>
                <w:rFonts w:ascii="Times New Roman" w:cs="Times New Roman" w:eastAsia="Times New Roman" w:hAnsi="Times New Roman"/>
                <w:sz w:val="13"/>
                <w:szCs w:val="13"/>
                <w:color w:val="auto"/>
              </w:rPr>
              <w:t>7.0%</w:t>
            </w:r>
          </w:p>
        </w:tc>
        <w:tc>
          <w:tcPr>
            <w:tcW w:w="100" w:type="dxa"/>
            <w:vAlign w:val="bottom"/>
            <w:tcBorders>
              <w:bottom w:val="single" w:sz="8" w:color="CCEEFF"/>
            </w:tcBorders>
          </w:tcPr>
          <w:p>
            <w:pPr>
              <w:spacing w:after="0"/>
              <w:rPr>
                <w:sz w:val="15"/>
                <w:szCs w:val="15"/>
                <w:color w:val="auto"/>
              </w:rPr>
            </w:pPr>
          </w:p>
        </w:tc>
        <w:tc>
          <w:tcPr>
            <w:tcW w:w="900" w:type="dxa"/>
            <w:vAlign w:val="bottom"/>
            <w:tcBorders>
              <w:bottom w:val="single" w:sz="8" w:color="CCEEFF"/>
            </w:tcBorders>
            <w:gridSpan w:val="2"/>
          </w:tcPr>
          <w:p>
            <w:pPr>
              <w:jc w:val="center"/>
              <w:ind w:right="100"/>
              <w:spacing w:after="0"/>
              <w:rPr>
                <w:sz w:val="20"/>
                <w:szCs w:val="20"/>
                <w:color w:val="auto"/>
              </w:rPr>
            </w:pPr>
            <w:r>
              <w:rPr>
                <w:rFonts w:ascii="Times New Roman" w:cs="Times New Roman" w:eastAsia="Times New Roman" w:hAnsi="Times New Roman"/>
                <w:sz w:val="13"/>
                <w:szCs w:val="13"/>
                <w:color w:val="auto"/>
                <w:w w:val="93"/>
              </w:rPr>
              <w:t>2.9 years</w:t>
            </w:r>
          </w:p>
        </w:tc>
        <w:tc>
          <w:tcPr>
            <w:tcW w:w="84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840" w:type="dxa"/>
            <w:vAlign w:val="bottom"/>
            <w:tcBorders>
              <w:bottom w:val="single" w:sz="8" w:color="CCEEFF"/>
            </w:tcBorders>
          </w:tcPr>
          <w:p>
            <w:pPr>
              <w:jc w:val="center"/>
              <w:spacing w:after="0"/>
              <w:rPr>
                <w:sz w:val="20"/>
                <w:szCs w:val="20"/>
                <w:color w:val="auto"/>
              </w:rPr>
            </w:pPr>
            <w:r>
              <w:rPr>
                <w:rFonts w:ascii="Times New Roman" w:cs="Times New Roman" w:eastAsia="Times New Roman" w:hAnsi="Times New Roman"/>
                <w:sz w:val="13"/>
                <w:szCs w:val="13"/>
                <w:color w:val="auto"/>
                <w:w w:val="98"/>
              </w:rPr>
              <w:t>3.0</w:t>
            </w:r>
          </w:p>
        </w:tc>
        <w:tc>
          <w:tcPr>
            <w:tcW w:w="0" w:type="dxa"/>
            <w:vAlign w:val="bottom"/>
          </w:tcPr>
          <w:p>
            <w:pPr>
              <w:spacing w:after="0"/>
              <w:rPr>
                <w:sz w:val="1"/>
                <w:szCs w:val="1"/>
                <w:color w:val="auto"/>
              </w:rPr>
            </w:pPr>
          </w:p>
        </w:tc>
      </w:tr>
      <w:tr>
        <w:trPr>
          <w:trHeight w:val="418"/>
        </w:trPr>
        <w:tc>
          <w:tcPr>
            <w:tcW w:w="90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34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bl>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Office</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6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Loan 85</w:t>
            </w:r>
          </w:p>
        </w:tc>
        <w:tc>
          <w:tcPr>
            <w:tcW w:w="1140" w:type="dxa"/>
            <w:vAlign w:val="bottom"/>
            <w:tcBorders>
              <w:top w:val="single" w:sz="8" w:color="auto"/>
            </w:tcBorders>
            <w:shd w:val="clear" w:color="auto" w:fill="CCEEFF"/>
          </w:tcPr>
          <w:p>
            <w:pPr>
              <w:ind w:left="240"/>
              <w:spacing w:after="0"/>
              <w:rPr>
                <w:sz w:val="20"/>
                <w:szCs w:val="20"/>
                <w:color w:val="auto"/>
              </w:rPr>
            </w:pPr>
            <w:r>
              <w:rPr>
                <w:rFonts w:ascii="Times New Roman" w:cs="Times New Roman" w:eastAsia="Times New Roman" w:hAnsi="Times New Roman"/>
                <w:sz w:val="13"/>
                <w:szCs w:val="13"/>
                <w:color w:val="auto"/>
              </w:rPr>
              <w:t>Senior</w:t>
            </w:r>
          </w:p>
        </w:tc>
        <w:tc>
          <w:tcPr>
            <w:tcW w:w="8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8"/>
              </w:rPr>
              <w:t>1/19/2021</w:t>
            </w:r>
          </w:p>
        </w:tc>
        <w:tc>
          <w:tcPr>
            <w:tcW w:w="1540" w:type="dxa"/>
            <w:vAlign w:val="bottom"/>
            <w:tcBorders>
              <w:top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Phoenix, AZ</w:t>
            </w:r>
          </w:p>
        </w:tc>
        <w:tc>
          <w:tcPr>
            <w:tcW w:w="220" w:type="dxa"/>
            <w:vAlign w:val="bottom"/>
            <w:tcBorders>
              <w:top w:val="single" w:sz="8" w:color="auto"/>
            </w:tcBorders>
            <w:shd w:val="clear" w:color="auto" w:fill="CCEEFF"/>
          </w:tcPr>
          <w:p>
            <w:pPr>
              <w:jc w:val="right"/>
              <w:ind w:right="77"/>
              <w:spacing w:after="0"/>
              <w:rPr>
                <w:sz w:val="20"/>
                <w:szCs w:val="20"/>
                <w:color w:val="auto"/>
              </w:rPr>
            </w:pPr>
            <w:r>
              <w:rPr>
                <w:rFonts w:ascii="Times New Roman" w:cs="Times New Roman" w:eastAsia="Times New Roman" w:hAnsi="Times New Roman"/>
                <w:sz w:val="13"/>
                <w:szCs w:val="13"/>
                <w:color w:val="auto"/>
                <w:w w:val="91"/>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78,118</w:t>
            </w:r>
          </w:p>
        </w:tc>
        <w:tc>
          <w:tcPr>
            <w:tcW w:w="100" w:type="dxa"/>
            <w:vAlign w:val="bottom"/>
            <w:tcBorders>
              <w:top w:val="single" w:sz="8" w:color="auto"/>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color w:val="auto"/>
                <w:w w:val="91"/>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77,715</w:t>
            </w:r>
          </w:p>
        </w:tc>
        <w:tc>
          <w:tcPr>
            <w:tcW w:w="1080" w:type="dxa"/>
            <w:vAlign w:val="bottom"/>
            <w:tcBorders>
              <w:top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3"/>
                <w:szCs w:val="13"/>
                <w:color w:val="auto"/>
              </w:rPr>
              <w:t>Floating</w:t>
            </w:r>
          </w:p>
        </w:tc>
        <w:tc>
          <w:tcPr>
            <w:tcW w:w="640" w:type="dxa"/>
            <w:vAlign w:val="bottom"/>
            <w:tcBorders>
              <w:top w:val="single" w:sz="8" w:color="auto"/>
            </w:tcBorders>
            <w:shd w:val="clear" w:color="auto" w:fill="CCEEFF"/>
          </w:tcPr>
          <w:p>
            <w:pPr>
              <w:jc w:val="right"/>
              <w:ind w:right="257"/>
              <w:spacing w:after="0"/>
              <w:rPr>
                <w:sz w:val="20"/>
                <w:szCs w:val="20"/>
                <w:color w:val="auto"/>
              </w:rPr>
            </w:pPr>
            <w:r>
              <w:rPr>
                <w:rFonts w:ascii="Times New Roman" w:cs="Times New Roman" w:eastAsia="Times New Roman" w:hAnsi="Times New Roman"/>
                <w:sz w:val="13"/>
                <w:szCs w:val="13"/>
                <w:color w:val="auto"/>
              </w:rPr>
              <w:t>3.7%</w:t>
            </w:r>
          </w:p>
        </w:tc>
        <w:tc>
          <w:tcPr>
            <w:tcW w:w="820" w:type="dxa"/>
            <w:vAlign w:val="bottom"/>
            <w:tcBorders>
              <w:top w:val="single" w:sz="8" w:color="auto"/>
            </w:tcBorders>
            <w:shd w:val="clear" w:color="auto" w:fill="CCEEFF"/>
          </w:tcPr>
          <w:p>
            <w:pPr>
              <w:jc w:val="right"/>
              <w:ind w:right="177"/>
              <w:spacing w:after="0"/>
              <w:rPr>
                <w:sz w:val="20"/>
                <w:szCs w:val="20"/>
                <w:color w:val="auto"/>
              </w:rPr>
            </w:pPr>
            <w:r>
              <w:rPr>
                <w:rFonts w:ascii="Times New Roman" w:cs="Times New Roman" w:eastAsia="Times New Roman" w:hAnsi="Times New Roman"/>
                <w:sz w:val="13"/>
                <w:szCs w:val="13"/>
                <w:color w:val="auto"/>
              </w:rPr>
              <w:t>7.6%</w:t>
            </w:r>
          </w:p>
        </w:tc>
        <w:tc>
          <w:tcPr>
            <w:tcW w:w="10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8"/>
              </w:rPr>
              <w:t>10/9/2026</w:t>
            </w:r>
          </w:p>
        </w:tc>
        <w:tc>
          <w:tcPr>
            <w:tcW w:w="900" w:type="dxa"/>
            <w:vAlign w:val="bottom"/>
            <w:tcBorders>
              <w:top w:val="single" w:sz="8" w:color="auto"/>
            </w:tcBorders>
            <w:shd w:val="clear" w:color="auto" w:fill="CCEEFF"/>
          </w:tcPr>
          <w:p>
            <w:pPr>
              <w:jc w:val="right"/>
              <w:ind w:right="337"/>
              <w:spacing w:after="0"/>
              <w:rPr>
                <w:sz w:val="20"/>
                <w:szCs w:val="20"/>
                <w:color w:val="auto"/>
              </w:rPr>
            </w:pPr>
            <w:r>
              <w:rPr>
                <w:rFonts w:ascii="Times New Roman" w:cs="Times New Roman" w:eastAsia="Times New Roman" w:hAnsi="Times New Roman"/>
                <w:sz w:val="13"/>
                <w:szCs w:val="13"/>
                <w:color w:val="auto"/>
              </w:rPr>
              <w:t>70%</w:t>
            </w:r>
          </w:p>
        </w:tc>
        <w:tc>
          <w:tcPr>
            <w:tcW w:w="840" w:type="dxa"/>
            <w:vAlign w:val="bottom"/>
            <w:tcBorders>
              <w:top w:val="single" w:sz="8" w:color="auto"/>
            </w:tcBorders>
            <w:shd w:val="clear" w:color="auto" w:fill="CCEEFF"/>
          </w:tcPr>
          <w:p>
            <w:pPr>
              <w:jc w:val="right"/>
              <w:ind w:right="317"/>
              <w:spacing w:after="0"/>
              <w:rPr>
                <w:sz w:val="20"/>
                <w:szCs w:val="20"/>
                <w:color w:val="auto"/>
              </w:rPr>
            </w:pPr>
            <w:r>
              <w:rPr>
                <w:rFonts w:ascii="Times New Roman" w:cs="Times New Roman" w:eastAsia="Times New Roman" w:hAnsi="Times New Roman"/>
                <w:sz w:val="13"/>
                <w:szCs w:val="13"/>
                <w:color w:val="auto"/>
              </w:rPr>
              <w:t>3</w:t>
            </w:r>
          </w:p>
        </w:tc>
      </w:tr>
      <w:tr>
        <w:trPr>
          <w:trHeight w:val="181"/>
        </w:trPr>
        <w:tc>
          <w:tcPr>
            <w:tcW w:w="6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Loan 86</w:t>
            </w:r>
          </w:p>
        </w:tc>
        <w:tc>
          <w:tcPr>
            <w:tcW w:w="1140" w:type="dxa"/>
            <w:vAlign w:val="bottom"/>
          </w:tcPr>
          <w:p>
            <w:pPr>
              <w:ind w:left="240"/>
              <w:spacing w:after="0"/>
              <w:rPr>
                <w:sz w:val="20"/>
                <w:szCs w:val="20"/>
                <w:color w:val="auto"/>
              </w:rPr>
            </w:pPr>
            <w:r>
              <w:rPr>
                <w:rFonts w:ascii="Times New Roman" w:cs="Times New Roman" w:eastAsia="Times New Roman" w:hAnsi="Times New Roman"/>
                <w:sz w:val="13"/>
                <w:szCs w:val="13"/>
                <w:color w:val="auto"/>
              </w:rPr>
              <w:t>Senior</w:t>
            </w:r>
          </w:p>
        </w:tc>
        <w:tc>
          <w:tcPr>
            <w:tcW w:w="84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8"/>
              </w:rPr>
              <w:t>8/28/2018</w:t>
            </w:r>
          </w:p>
        </w:tc>
        <w:tc>
          <w:tcPr>
            <w:tcW w:w="154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San Jose, CA</w:t>
            </w:r>
          </w:p>
        </w:tc>
        <w:tc>
          <w:tcPr>
            <w:tcW w:w="22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73,571</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73,571</w:t>
            </w:r>
          </w:p>
        </w:tc>
        <w:tc>
          <w:tcPr>
            <w:tcW w:w="1080" w:type="dxa"/>
            <w:vAlign w:val="bottom"/>
          </w:tcPr>
          <w:p>
            <w:pPr>
              <w:ind w:left="220"/>
              <w:spacing w:after="0"/>
              <w:rPr>
                <w:sz w:val="20"/>
                <w:szCs w:val="20"/>
                <w:color w:val="auto"/>
              </w:rPr>
            </w:pPr>
            <w:r>
              <w:rPr>
                <w:rFonts w:ascii="Times New Roman" w:cs="Times New Roman" w:eastAsia="Times New Roman" w:hAnsi="Times New Roman"/>
                <w:sz w:val="13"/>
                <w:szCs w:val="13"/>
                <w:color w:val="auto"/>
              </w:rPr>
              <w:t>Floating</w:t>
            </w:r>
          </w:p>
        </w:tc>
        <w:tc>
          <w:tcPr>
            <w:tcW w:w="640" w:type="dxa"/>
            <w:vAlign w:val="bottom"/>
          </w:tcPr>
          <w:p>
            <w:pPr>
              <w:jc w:val="right"/>
              <w:ind w:right="257"/>
              <w:spacing w:after="0"/>
              <w:rPr>
                <w:sz w:val="20"/>
                <w:szCs w:val="20"/>
                <w:color w:val="auto"/>
              </w:rPr>
            </w:pPr>
            <w:r>
              <w:rPr>
                <w:rFonts w:ascii="Times New Roman" w:cs="Times New Roman" w:eastAsia="Times New Roman" w:hAnsi="Times New Roman"/>
                <w:sz w:val="13"/>
                <w:szCs w:val="13"/>
                <w:color w:val="auto"/>
              </w:rPr>
              <w:t>4.9%</w:t>
            </w:r>
          </w:p>
        </w:tc>
        <w:tc>
          <w:tcPr>
            <w:tcW w:w="820" w:type="dxa"/>
            <w:vAlign w:val="bottom"/>
          </w:tcPr>
          <w:p>
            <w:pPr>
              <w:jc w:val="right"/>
              <w:ind w:right="177"/>
              <w:spacing w:after="0"/>
              <w:rPr>
                <w:sz w:val="20"/>
                <w:szCs w:val="20"/>
                <w:color w:val="auto"/>
              </w:rPr>
            </w:pPr>
            <w:r>
              <w:rPr>
                <w:rFonts w:ascii="Times New Roman" w:cs="Times New Roman" w:eastAsia="Times New Roman" w:hAnsi="Times New Roman"/>
                <w:sz w:val="13"/>
                <w:szCs w:val="13"/>
                <w:color w:val="auto"/>
              </w:rPr>
              <w:t>8.8%</w:t>
            </w:r>
          </w:p>
        </w:tc>
        <w:tc>
          <w:tcPr>
            <w:tcW w:w="106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5"/>
              </w:rPr>
              <w:t>3/9/2028</w:t>
            </w:r>
          </w:p>
        </w:tc>
        <w:tc>
          <w:tcPr>
            <w:tcW w:w="900" w:type="dxa"/>
            <w:vAlign w:val="bottom"/>
          </w:tcPr>
          <w:p>
            <w:pPr>
              <w:jc w:val="right"/>
              <w:ind w:right="337"/>
              <w:spacing w:after="0"/>
              <w:rPr>
                <w:sz w:val="20"/>
                <w:szCs w:val="20"/>
                <w:color w:val="auto"/>
              </w:rPr>
            </w:pPr>
            <w:r>
              <w:rPr>
                <w:rFonts w:ascii="Times New Roman" w:cs="Times New Roman" w:eastAsia="Times New Roman" w:hAnsi="Times New Roman"/>
                <w:sz w:val="13"/>
                <w:szCs w:val="13"/>
                <w:color w:val="auto"/>
              </w:rPr>
              <w:t>69%</w:t>
            </w:r>
          </w:p>
        </w:tc>
        <w:tc>
          <w:tcPr>
            <w:tcW w:w="840" w:type="dxa"/>
            <w:vAlign w:val="bottom"/>
          </w:tcPr>
          <w:p>
            <w:pPr>
              <w:jc w:val="right"/>
              <w:ind w:right="317"/>
              <w:spacing w:after="0"/>
              <w:rPr>
                <w:sz w:val="20"/>
                <w:szCs w:val="20"/>
                <w:color w:val="auto"/>
              </w:rPr>
            </w:pPr>
            <w:r>
              <w:rPr>
                <w:rFonts w:ascii="Times New Roman" w:cs="Times New Roman" w:eastAsia="Times New Roman" w:hAnsi="Times New Roman"/>
                <w:sz w:val="13"/>
                <w:szCs w:val="13"/>
                <w:color w:val="auto"/>
              </w:rPr>
              <w:t>3</w:t>
            </w:r>
          </w:p>
        </w:tc>
      </w:tr>
      <w:tr>
        <w:trPr>
          <w:trHeight w:val="197"/>
        </w:trPr>
        <w:tc>
          <w:tcPr>
            <w:tcW w:w="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Loan 87</w:t>
            </w:r>
          </w:p>
        </w:tc>
        <w:tc>
          <w:tcPr>
            <w:tcW w:w="11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3"/>
                <w:szCs w:val="13"/>
                <w:color w:val="auto"/>
              </w:rPr>
              <w:t>Senior</w:t>
            </w:r>
          </w:p>
        </w:tc>
        <w:tc>
          <w:tcPr>
            <w:tcW w:w="8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8"/>
              </w:rPr>
              <w:t>2/13/2019</w:t>
            </w:r>
          </w:p>
        </w:tc>
        <w:tc>
          <w:tcPr>
            <w:tcW w:w="15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Baltimore, MD</w:t>
            </w:r>
          </w:p>
        </w:tc>
        <w:tc>
          <w:tcPr>
            <w:tcW w:w="22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58,606</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58,606</w:t>
            </w:r>
          </w:p>
        </w:tc>
        <w:tc>
          <w:tcPr>
            <w:tcW w:w="10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3"/>
                <w:szCs w:val="13"/>
                <w:color w:val="auto"/>
              </w:rPr>
              <w:t>Floating</w:t>
            </w:r>
          </w:p>
        </w:tc>
        <w:tc>
          <w:tcPr>
            <w:tcW w:w="640" w:type="dxa"/>
            <w:vAlign w:val="bottom"/>
            <w:shd w:val="clear" w:color="auto" w:fill="CCEEFF"/>
          </w:tcPr>
          <w:p>
            <w:pPr>
              <w:jc w:val="right"/>
              <w:ind w:right="257"/>
              <w:spacing w:after="0"/>
              <w:rPr>
                <w:sz w:val="20"/>
                <w:szCs w:val="20"/>
                <w:color w:val="auto"/>
              </w:rPr>
            </w:pPr>
            <w:r>
              <w:rPr>
                <w:rFonts w:ascii="Times New Roman" w:cs="Times New Roman" w:eastAsia="Times New Roman" w:hAnsi="Times New Roman"/>
                <w:sz w:val="13"/>
                <w:szCs w:val="13"/>
                <w:color w:val="auto"/>
              </w:rPr>
              <w:t>3.6%</w:t>
            </w:r>
          </w:p>
        </w:tc>
        <w:tc>
          <w:tcPr>
            <w:tcW w:w="820" w:type="dxa"/>
            <w:vAlign w:val="bottom"/>
            <w:shd w:val="clear" w:color="auto" w:fill="CCEEFF"/>
          </w:tcPr>
          <w:p>
            <w:pPr>
              <w:jc w:val="right"/>
              <w:ind w:right="177"/>
              <w:spacing w:after="0"/>
              <w:rPr>
                <w:sz w:val="20"/>
                <w:szCs w:val="20"/>
                <w:color w:val="auto"/>
              </w:rPr>
            </w:pPr>
            <w:r>
              <w:rPr>
                <w:rFonts w:ascii="Times New Roman" w:cs="Times New Roman" w:eastAsia="Times New Roman" w:hAnsi="Times New Roman"/>
                <w:sz w:val="13"/>
                <w:szCs w:val="13"/>
                <w:color w:val="auto"/>
              </w:rPr>
              <w:t>7.5%</w:t>
            </w:r>
          </w:p>
        </w:tc>
        <w:tc>
          <w:tcPr>
            <w:tcW w:w="10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5"/>
              </w:rPr>
              <w:t>2/9/2027</w:t>
            </w:r>
          </w:p>
        </w:tc>
        <w:tc>
          <w:tcPr>
            <w:tcW w:w="900" w:type="dxa"/>
            <w:vAlign w:val="bottom"/>
            <w:shd w:val="clear" w:color="auto" w:fill="CCEEFF"/>
          </w:tcPr>
          <w:p>
            <w:pPr>
              <w:jc w:val="right"/>
              <w:ind w:right="337"/>
              <w:spacing w:after="0"/>
              <w:rPr>
                <w:sz w:val="20"/>
                <w:szCs w:val="20"/>
                <w:color w:val="auto"/>
              </w:rPr>
            </w:pPr>
            <w:r>
              <w:rPr>
                <w:rFonts w:ascii="Times New Roman" w:cs="Times New Roman" w:eastAsia="Times New Roman" w:hAnsi="Times New Roman"/>
                <w:sz w:val="13"/>
                <w:szCs w:val="13"/>
                <w:color w:val="auto"/>
              </w:rPr>
              <w:t>74%</w:t>
            </w:r>
          </w:p>
        </w:tc>
        <w:tc>
          <w:tcPr>
            <w:tcW w:w="840" w:type="dxa"/>
            <w:vAlign w:val="bottom"/>
            <w:shd w:val="clear" w:color="auto" w:fill="CCEEFF"/>
          </w:tcPr>
          <w:p>
            <w:pPr>
              <w:jc w:val="right"/>
              <w:ind w:right="317"/>
              <w:spacing w:after="0"/>
              <w:rPr>
                <w:sz w:val="20"/>
                <w:szCs w:val="20"/>
                <w:color w:val="auto"/>
              </w:rPr>
            </w:pPr>
            <w:r>
              <w:rPr>
                <w:rFonts w:ascii="Times New Roman" w:cs="Times New Roman" w:eastAsia="Times New Roman" w:hAnsi="Times New Roman"/>
                <w:sz w:val="13"/>
                <w:szCs w:val="13"/>
                <w:color w:val="auto"/>
              </w:rPr>
              <w:t>3</w:t>
            </w:r>
          </w:p>
        </w:tc>
      </w:tr>
      <w:tr>
        <w:trPr>
          <w:trHeight w:val="181"/>
        </w:trPr>
        <w:tc>
          <w:tcPr>
            <w:tcW w:w="6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Loan 88</w:t>
            </w:r>
          </w:p>
        </w:tc>
        <w:tc>
          <w:tcPr>
            <w:tcW w:w="1140" w:type="dxa"/>
            <w:vAlign w:val="bottom"/>
          </w:tcPr>
          <w:p>
            <w:pPr>
              <w:ind w:left="240"/>
              <w:spacing w:after="0"/>
              <w:rPr>
                <w:sz w:val="20"/>
                <w:szCs w:val="20"/>
                <w:color w:val="auto"/>
              </w:rPr>
            </w:pPr>
            <w:r>
              <w:rPr>
                <w:rFonts w:ascii="Times New Roman" w:cs="Times New Roman" w:eastAsia="Times New Roman" w:hAnsi="Times New Roman"/>
                <w:sz w:val="13"/>
                <w:szCs w:val="13"/>
                <w:color w:val="auto"/>
              </w:rPr>
              <w:t>Senior</w:t>
            </w:r>
          </w:p>
        </w:tc>
        <w:tc>
          <w:tcPr>
            <w:tcW w:w="84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4"/>
              </w:rPr>
              <w:t>11/17/2021</w:t>
            </w:r>
          </w:p>
        </w:tc>
        <w:tc>
          <w:tcPr>
            <w:tcW w:w="154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Dallas, TX</w:t>
            </w:r>
          </w:p>
        </w:tc>
        <w:tc>
          <w:tcPr>
            <w:tcW w:w="22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41,533</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41,533</w:t>
            </w:r>
          </w:p>
        </w:tc>
        <w:tc>
          <w:tcPr>
            <w:tcW w:w="1080" w:type="dxa"/>
            <w:vAlign w:val="bottom"/>
          </w:tcPr>
          <w:p>
            <w:pPr>
              <w:ind w:left="220"/>
              <w:spacing w:after="0"/>
              <w:rPr>
                <w:sz w:val="20"/>
                <w:szCs w:val="20"/>
                <w:color w:val="auto"/>
              </w:rPr>
            </w:pPr>
            <w:r>
              <w:rPr>
                <w:rFonts w:ascii="Times New Roman" w:cs="Times New Roman" w:eastAsia="Times New Roman" w:hAnsi="Times New Roman"/>
                <w:sz w:val="13"/>
                <w:szCs w:val="13"/>
                <w:color w:val="auto"/>
              </w:rPr>
              <w:t>Floating</w:t>
            </w:r>
          </w:p>
        </w:tc>
        <w:tc>
          <w:tcPr>
            <w:tcW w:w="640" w:type="dxa"/>
            <w:vAlign w:val="bottom"/>
          </w:tcPr>
          <w:p>
            <w:pPr>
              <w:jc w:val="right"/>
              <w:ind w:right="257"/>
              <w:spacing w:after="0"/>
              <w:rPr>
                <w:sz w:val="20"/>
                <w:szCs w:val="20"/>
                <w:color w:val="auto"/>
              </w:rPr>
            </w:pPr>
            <w:r>
              <w:rPr>
                <w:rFonts w:ascii="Times New Roman" w:cs="Times New Roman" w:eastAsia="Times New Roman" w:hAnsi="Times New Roman"/>
                <w:sz w:val="13"/>
                <w:szCs w:val="13"/>
                <w:color w:val="auto"/>
              </w:rPr>
              <w:t>4.0%</w:t>
            </w:r>
          </w:p>
        </w:tc>
        <w:tc>
          <w:tcPr>
            <w:tcW w:w="820" w:type="dxa"/>
            <w:vAlign w:val="bottom"/>
          </w:tcPr>
          <w:p>
            <w:pPr>
              <w:jc w:val="right"/>
              <w:ind w:right="177"/>
              <w:spacing w:after="0"/>
              <w:rPr>
                <w:sz w:val="20"/>
                <w:szCs w:val="20"/>
                <w:color w:val="auto"/>
              </w:rPr>
            </w:pPr>
            <w:r>
              <w:rPr>
                <w:rFonts w:ascii="Times New Roman" w:cs="Times New Roman" w:eastAsia="Times New Roman" w:hAnsi="Times New Roman"/>
                <w:sz w:val="13"/>
                <w:szCs w:val="13"/>
                <w:color w:val="auto"/>
              </w:rPr>
              <w:t>7.9%</w:t>
            </w:r>
          </w:p>
        </w:tc>
        <w:tc>
          <w:tcPr>
            <w:tcW w:w="106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8"/>
              </w:rPr>
              <w:t>12/9/2026</w:t>
            </w:r>
          </w:p>
        </w:tc>
        <w:tc>
          <w:tcPr>
            <w:tcW w:w="900" w:type="dxa"/>
            <w:vAlign w:val="bottom"/>
          </w:tcPr>
          <w:p>
            <w:pPr>
              <w:jc w:val="right"/>
              <w:ind w:right="337"/>
              <w:spacing w:after="0"/>
              <w:rPr>
                <w:sz w:val="20"/>
                <w:szCs w:val="20"/>
                <w:color w:val="auto"/>
              </w:rPr>
            </w:pPr>
            <w:r>
              <w:rPr>
                <w:rFonts w:ascii="Times New Roman" w:cs="Times New Roman" w:eastAsia="Times New Roman" w:hAnsi="Times New Roman"/>
                <w:sz w:val="13"/>
                <w:szCs w:val="13"/>
                <w:color w:val="auto"/>
              </w:rPr>
              <w:t>61%</w:t>
            </w:r>
          </w:p>
        </w:tc>
        <w:tc>
          <w:tcPr>
            <w:tcW w:w="840" w:type="dxa"/>
            <w:vAlign w:val="bottom"/>
          </w:tcPr>
          <w:p>
            <w:pPr>
              <w:jc w:val="right"/>
              <w:ind w:right="317"/>
              <w:spacing w:after="0"/>
              <w:rPr>
                <w:sz w:val="20"/>
                <w:szCs w:val="20"/>
                <w:color w:val="auto"/>
              </w:rPr>
            </w:pPr>
            <w:r>
              <w:rPr>
                <w:rFonts w:ascii="Times New Roman" w:cs="Times New Roman" w:eastAsia="Times New Roman" w:hAnsi="Times New Roman"/>
                <w:sz w:val="13"/>
                <w:szCs w:val="13"/>
                <w:color w:val="auto"/>
              </w:rPr>
              <w:t>4</w:t>
            </w:r>
          </w:p>
        </w:tc>
      </w:tr>
      <w:tr>
        <w:trPr>
          <w:trHeight w:val="197"/>
        </w:trPr>
        <w:tc>
          <w:tcPr>
            <w:tcW w:w="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Loan 89</w:t>
            </w:r>
          </w:p>
        </w:tc>
        <w:tc>
          <w:tcPr>
            <w:tcW w:w="11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3"/>
                <w:szCs w:val="13"/>
                <w:color w:val="auto"/>
              </w:rPr>
              <w:t>Senior</w:t>
            </w:r>
          </w:p>
        </w:tc>
        <w:tc>
          <w:tcPr>
            <w:tcW w:w="8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8"/>
              </w:rPr>
              <w:t>5/23/2022</w:t>
            </w:r>
          </w:p>
        </w:tc>
        <w:tc>
          <w:tcPr>
            <w:tcW w:w="15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Plano, TX</w:t>
            </w:r>
          </w:p>
        </w:tc>
        <w:tc>
          <w:tcPr>
            <w:tcW w:w="22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38,633</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38,524</w:t>
            </w:r>
          </w:p>
        </w:tc>
        <w:tc>
          <w:tcPr>
            <w:tcW w:w="10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3"/>
                <w:szCs w:val="13"/>
                <w:color w:val="auto"/>
              </w:rPr>
              <w:t>Floating</w:t>
            </w:r>
          </w:p>
        </w:tc>
        <w:tc>
          <w:tcPr>
            <w:tcW w:w="640" w:type="dxa"/>
            <w:vAlign w:val="bottom"/>
            <w:shd w:val="clear" w:color="auto" w:fill="CCEEFF"/>
          </w:tcPr>
          <w:p>
            <w:pPr>
              <w:jc w:val="right"/>
              <w:ind w:right="257"/>
              <w:spacing w:after="0"/>
              <w:rPr>
                <w:sz w:val="20"/>
                <w:szCs w:val="20"/>
                <w:color w:val="auto"/>
              </w:rPr>
            </w:pPr>
            <w:r>
              <w:rPr>
                <w:rFonts w:ascii="Times New Roman" w:cs="Times New Roman" w:eastAsia="Times New Roman" w:hAnsi="Times New Roman"/>
                <w:sz w:val="13"/>
                <w:szCs w:val="13"/>
                <w:color w:val="auto"/>
              </w:rPr>
              <w:t>4.3%</w:t>
            </w:r>
          </w:p>
        </w:tc>
        <w:tc>
          <w:tcPr>
            <w:tcW w:w="820" w:type="dxa"/>
            <w:vAlign w:val="bottom"/>
            <w:shd w:val="clear" w:color="auto" w:fill="CCEEFF"/>
          </w:tcPr>
          <w:p>
            <w:pPr>
              <w:jc w:val="right"/>
              <w:ind w:right="177"/>
              <w:spacing w:after="0"/>
              <w:rPr>
                <w:sz w:val="20"/>
                <w:szCs w:val="20"/>
                <w:color w:val="auto"/>
              </w:rPr>
            </w:pPr>
            <w:r>
              <w:rPr>
                <w:rFonts w:ascii="Times New Roman" w:cs="Times New Roman" w:eastAsia="Times New Roman" w:hAnsi="Times New Roman"/>
                <w:sz w:val="13"/>
                <w:szCs w:val="13"/>
                <w:color w:val="auto"/>
              </w:rPr>
              <w:t>8.2%</w:t>
            </w:r>
          </w:p>
        </w:tc>
        <w:tc>
          <w:tcPr>
            <w:tcW w:w="10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5"/>
              </w:rPr>
              <w:t>6/9/2027</w:t>
            </w:r>
          </w:p>
        </w:tc>
        <w:tc>
          <w:tcPr>
            <w:tcW w:w="900" w:type="dxa"/>
            <w:vAlign w:val="bottom"/>
            <w:shd w:val="clear" w:color="auto" w:fill="CCEEFF"/>
          </w:tcPr>
          <w:p>
            <w:pPr>
              <w:jc w:val="right"/>
              <w:ind w:right="337"/>
              <w:spacing w:after="0"/>
              <w:rPr>
                <w:sz w:val="20"/>
                <w:szCs w:val="20"/>
                <w:color w:val="auto"/>
              </w:rPr>
            </w:pPr>
            <w:r>
              <w:rPr>
                <w:rFonts w:ascii="Times New Roman" w:cs="Times New Roman" w:eastAsia="Times New Roman" w:hAnsi="Times New Roman"/>
                <w:sz w:val="13"/>
                <w:szCs w:val="13"/>
                <w:color w:val="auto"/>
              </w:rPr>
              <w:t>64%</w:t>
            </w:r>
          </w:p>
        </w:tc>
        <w:tc>
          <w:tcPr>
            <w:tcW w:w="840" w:type="dxa"/>
            <w:vAlign w:val="bottom"/>
            <w:shd w:val="clear" w:color="auto" w:fill="CCEEFF"/>
          </w:tcPr>
          <w:p>
            <w:pPr>
              <w:jc w:val="right"/>
              <w:ind w:right="317"/>
              <w:spacing w:after="0"/>
              <w:rPr>
                <w:sz w:val="20"/>
                <w:szCs w:val="20"/>
                <w:color w:val="auto"/>
              </w:rPr>
            </w:pPr>
            <w:r>
              <w:rPr>
                <w:rFonts w:ascii="Times New Roman" w:cs="Times New Roman" w:eastAsia="Times New Roman" w:hAnsi="Times New Roman"/>
                <w:sz w:val="13"/>
                <w:szCs w:val="13"/>
                <w:color w:val="auto"/>
              </w:rPr>
              <w:t>3</w:t>
            </w:r>
          </w:p>
        </w:tc>
      </w:tr>
      <w:tr>
        <w:trPr>
          <w:trHeight w:val="181"/>
        </w:trPr>
        <w:tc>
          <w:tcPr>
            <w:tcW w:w="6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Loan 90</w:t>
            </w:r>
          </w:p>
        </w:tc>
        <w:tc>
          <w:tcPr>
            <w:tcW w:w="1140" w:type="dxa"/>
            <w:vAlign w:val="bottom"/>
          </w:tcPr>
          <w:p>
            <w:pPr>
              <w:ind w:left="240"/>
              <w:spacing w:after="0"/>
              <w:rPr>
                <w:sz w:val="20"/>
                <w:szCs w:val="20"/>
                <w:color w:val="auto"/>
              </w:rPr>
            </w:pPr>
            <w:r>
              <w:rPr>
                <w:rFonts w:ascii="Times New Roman" w:cs="Times New Roman" w:eastAsia="Times New Roman" w:hAnsi="Times New Roman"/>
                <w:sz w:val="13"/>
                <w:szCs w:val="13"/>
                <w:color w:val="auto"/>
              </w:rPr>
              <w:t>Senior</w:t>
            </w:r>
          </w:p>
        </w:tc>
        <w:tc>
          <w:tcPr>
            <w:tcW w:w="84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8"/>
              </w:rPr>
              <w:t>4/27/2022</w:t>
            </w:r>
          </w:p>
        </w:tc>
        <w:tc>
          <w:tcPr>
            <w:tcW w:w="154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Plano, TX</w:t>
            </w:r>
          </w:p>
        </w:tc>
        <w:tc>
          <w:tcPr>
            <w:tcW w:w="22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38,542</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38,438</w:t>
            </w:r>
          </w:p>
        </w:tc>
        <w:tc>
          <w:tcPr>
            <w:tcW w:w="1080" w:type="dxa"/>
            <w:vAlign w:val="bottom"/>
          </w:tcPr>
          <w:p>
            <w:pPr>
              <w:ind w:left="220"/>
              <w:spacing w:after="0"/>
              <w:rPr>
                <w:sz w:val="20"/>
                <w:szCs w:val="20"/>
                <w:color w:val="auto"/>
              </w:rPr>
            </w:pPr>
            <w:r>
              <w:rPr>
                <w:rFonts w:ascii="Times New Roman" w:cs="Times New Roman" w:eastAsia="Times New Roman" w:hAnsi="Times New Roman"/>
                <w:sz w:val="13"/>
                <w:szCs w:val="13"/>
                <w:color w:val="auto"/>
              </w:rPr>
              <w:t>Floating</w:t>
            </w:r>
          </w:p>
        </w:tc>
        <w:tc>
          <w:tcPr>
            <w:tcW w:w="640" w:type="dxa"/>
            <w:vAlign w:val="bottom"/>
          </w:tcPr>
          <w:p>
            <w:pPr>
              <w:jc w:val="right"/>
              <w:ind w:right="257"/>
              <w:spacing w:after="0"/>
              <w:rPr>
                <w:sz w:val="20"/>
                <w:szCs w:val="20"/>
                <w:color w:val="auto"/>
              </w:rPr>
            </w:pPr>
            <w:r>
              <w:rPr>
                <w:rFonts w:ascii="Times New Roman" w:cs="Times New Roman" w:eastAsia="Times New Roman" w:hAnsi="Times New Roman"/>
                <w:sz w:val="13"/>
                <w:szCs w:val="13"/>
                <w:color w:val="auto"/>
              </w:rPr>
              <w:t>4.1%</w:t>
            </w:r>
          </w:p>
        </w:tc>
        <w:tc>
          <w:tcPr>
            <w:tcW w:w="820" w:type="dxa"/>
            <w:vAlign w:val="bottom"/>
          </w:tcPr>
          <w:p>
            <w:pPr>
              <w:jc w:val="right"/>
              <w:ind w:right="177"/>
              <w:spacing w:after="0"/>
              <w:rPr>
                <w:sz w:val="20"/>
                <w:szCs w:val="20"/>
                <w:color w:val="auto"/>
              </w:rPr>
            </w:pPr>
            <w:r>
              <w:rPr>
                <w:rFonts w:ascii="Times New Roman" w:cs="Times New Roman" w:eastAsia="Times New Roman" w:hAnsi="Times New Roman"/>
                <w:sz w:val="13"/>
                <w:szCs w:val="13"/>
                <w:color w:val="auto"/>
              </w:rPr>
              <w:t>8.0%</w:t>
            </w:r>
          </w:p>
        </w:tc>
        <w:tc>
          <w:tcPr>
            <w:tcW w:w="106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5"/>
              </w:rPr>
              <w:t>5/9/2027</w:t>
            </w:r>
          </w:p>
        </w:tc>
        <w:tc>
          <w:tcPr>
            <w:tcW w:w="900" w:type="dxa"/>
            <w:vAlign w:val="bottom"/>
          </w:tcPr>
          <w:p>
            <w:pPr>
              <w:jc w:val="right"/>
              <w:ind w:right="337"/>
              <w:spacing w:after="0"/>
              <w:rPr>
                <w:sz w:val="20"/>
                <w:szCs w:val="20"/>
                <w:color w:val="auto"/>
              </w:rPr>
            </w:pPr>
            <w:r>
              <w:rPr>
                <w:rFonts w:ascii="Times New Roman" w:cs="Times New Roman" w:eastAsia="Times New Roman" w:hAnsi="Times New Roman"/>
                <w:sz w:val="13"/>
                <w:szCs w:val="13"/>
                <w:color w:val="auto"/>
              </w:rPr>
              <w:t>70%</w:t>
            </w:r>
          </w:p>
        </w:tc>
        <w:tc>
          <w:tcPr>
            <w:tcW w:w="840" w:type="dxa"/>
            <w:vAlign w:val="bottom"/>
          </w:tcPr>
          <w:p>
            <w:pPr>
              <w:jc w:val="right"/>
              <w:ind w:right="317"/>
              <w:spacing w:after="0"/>
              <w:rPr>
                <w:sz w:val="20"/>
                <w:szCs w:val="20"/>
                <w:color w:val="auto"/>
              </w:rPr>
            </w:pPr>
            <w:r>
              <w:rPr>
                <w:rFonts w:ascii="Times New Roman" w:cs="Times New Roman" w:eastAsia="Times New Roman" w:hAnsi="Times New Roman"/>
                <w:sz w:val="13"/>
                <w:szCs w:val="13"/>
                <w:color w:val="auto"/>
              </w:rPr>
              <w:t>3</w:t>
            </w:r>
          </w:p>
        </w:tc>
      </w:tr>
      <w:tr>
        <w:trPr>
          <w:trHeight w:val="197"/>
        </w:trPr>
        <w:tc>
          <w:tcPr>
            <w:tcW w:w="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Loan 91</w:t>
            </w:r>
          </w:p>
        </w:tc>
        <w:tc>
          <w:tcPr>
            <w:tcW w:w="11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3"/>
                <w:szCs w:val="13"/>
                <w:color w:val="auto"/>
              </w:rPr>
              <w:t>Senior</w:t>
            </w:r>
          </w:p>
        </w:tc>
        <w:tc>
          <w:tcPr>
            <w:tcW w:w="8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5"/>
              </w:rPr>
              <w:t>4/7/2022</w:t>
            </w:r>
          </w:p>
        </w:tc>
        <w:tc>
          <w:tcPr>
            <w:tcW w:w="15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San Jose, CA</w:t>
            </w:r>
          </w:p>
        </w:tc>
        <w:tc>
          <w:tcPr>
            <w:tcW w:w="22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32,435</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32,406</w:t>
            </w:r>
          </w:p>
        </w:tc>
        <w:tc>
          <w:tcPr>
            <w:tcW w:w="10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3"/>
                <w:szCs w:val="13"/>
                <w:color w:val="auto"/>
              </w:rPr>
              <w:t>Floating</w:t>
            </w:r>
          </w:p>
        </w:tc>
        <w:tc>
          <w:tcPr>
            <w:tcW w:w="640" w:type="dxa"/>
            <w:vAlign w:val="bottom"/>
            <w:shd w:val="clear" w:color="auto" w:fill="CCEEFF"/>
          </w:tcPr>
          <w:p>
            <w:pPr>
              <w:jc w:val="right"/>
              <w:ind w:right="257"/>
              <w:spacing w:after="0"/>
              <w:rPr>
                <w:sz w:val="20"/>
                <w:szCs w:val="20"/>
                <w:color w:val="auto"/>
              </w:rPr>
            </w:pPr>
            <w:r>
              <w:rPr>
                <w:rFonts w:ascii="Times New Roman" w:cs="Times New Roman" w:eastAsia="Times New Roman" w:hAnsi="Times New Roman"/>
                <w:sz w:val="13"/>
                <w:szCs w:val="13"/>
                <w:color w:val="auto"/>
              </w:rPr>
              <w:t>4.2%</w:t>
            </w:r>
          </w:p>
        </w:tc>
        <w:tc>
          <w:tcPr>
            <w:tcW w:w="820" w:type="dxa"/>
            <w:vAlign w:val="bottom"/>
            <w:shd w:val="clear" w:color="auto" w:fill="CCEEFF"/>
          </w:tcPr>
          <w:p>
            <w:pPr>
              <w:jc w:val="right"/>
              <w:ind w:right="177"/>
              <w:spacing w:after="0"/>
              <w:rPr>
                <w:sz w:val="20"/>
                <w:szCs w:val="20"/>
                <w:color w:val="auto"/>
              </w:rPr>
            </w:pPr>
            <w:r>
              <w:rPr>
                <w:rFonts w:ascii="Times New Roman" w:cs="Times New Roman" w:eastAsia="Times New Roman" w:hAnsi="Times New Roman"/>
                <w:sz w:val="13"/>
                <w:szCs w:val="13"/>
                <w:color w:val="auto"/>
              </w:rPr>
              <w:t>8.3%</w:t>
            </w:r>
          </w:p>
        </w:tc>
        <w:tc>
          <w:tcPr>
            <w:tcW w:w="10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5"/>
              </w:rPr>
              <w:t>4/9/2027</w:t>
            </w:r>
          </w:p>
        </w:tc>
        <w:tc>
          <w:tcPr>
            <w:tcW w:w="900" w:type="dxa"/>
            <w:vAlign w:val="bottom"/>
            <w:shd w:val="clear" w:color="auto" w:fill="CCEEFF"/>
          </w:tcPr>
          <w:p>
            <w:pPr>
              <w:jc w:val="right"/>
              <w:ind w:right="337"/>
              <w:spacing w:after="0"/>
              <w:rPr>
                <w:sz w:val="20"/>
                <w:szCs w:val="20"/>
                <w:color w:val="auto"/>
              </w:rPr>
            </w:pPr>
            <w:r>
              <w:rPr>
                <w:rFonts w:ascii="Times New Roman" w:cs="Times New Roman" w:eastAsia="Times New Roman" w:hAnsi="Times New Roman"/>
                <w:sz w:val="13"/>
                <w:szCs w:val="13"/>
                <w:color w:val="auto"/>
              </w:rPr>
              <w:t>70%</w:t>
            </w:r>
          </w:p>
        </w:tc>
        <w:tc>
          <w:tcPr>
            <w:tcW w:w="840" w:type="dxa"/>
            <w:vAlign w:val="bottom"/>
            <w:shd w:val="clear" w:color="auto" w:fill="CCEEFF"/>
          </w:tcPr>
          <w:p>
            <w:pPr>
              <w:jc w:val="right"/>
              <w:ind w:right="317"/>
              <w:spacing w:after="0"/>
              <w:rPr>
                <w:sz w:val="20"/>
                <w:szCs w:val="20"/>
                <w:color w:val="auto"/>
              </w:rPr>
            </w:pPr>
            <w:r>
              <w:rPr>
                <w:rFonts w:ascii="Times New Roman" w:cs="Times New Roman" w:eastAsia="Times New Roman" w:hAnsi="Times New Roman"/>
                <w:sz w:val="13"/>
                <w:szCs w:val="13"/>
                <w:color w:val="auto"/>
              </w:rPr>
              <w:t>3</w:t>
            </w:r>
          </w:p>
        </w:tc>
      </w:tr>
      <w:tr>
        <w:trPr>
          <w:trHeight w:val="181"/>
        </w:trPr>
        <w:tc>
          <w:tcPr>
            <w:tcW w:w="6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Loan 92</w:t>
            </w:r>
          </w:p>
        </w:tc>
        <w:tc>
          <w:tcPr>
            <w:tcW w:w="1140" w:type="dxa"/>
            <w:vAlign w:val="bottom"/>
          </w:tcPr>
          <w:p>
            <w:pPr>
              <w:ind w:left="240"/>
              <w:spacing w:after="0"/>
              <w:rPr>
                <w:sz w:val="20"/>
                <w:szCs w:val="20"/>
                <w:color w:val="auto"/>
              </w:rPr>
            </w:pPr>
            <w:r>
              <w:rPr>
                <w:rFonts w:ascii="Times New Roman" w:cs="Times New Roman" w:eastAsia="Times New Roman" w:hAnsi="Times New Roman"/>
                <w:sz w:val="13"/>
                <w:szCs w:val="13"/>
                <w:color w:val="auto"/>
              </w:rPr>
              <w:t>Senior</w:t>
            </w:r>
          </w:p>
        </w:tc>
        <w:tc>
          <w:tcPr>
            <w:tcW w:w="84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7"/>
              </w:rPr>
              <w:t>10/21/2021</w:t>
            </w:r>
          </w:p>
        </w:tc>
        <w:tc>
          <w:tcPr>
            <w:tcW w:w="154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Blue Bell, PA</w:t>
            </w:r>
          </w:p>
        </w:tc>
        <w:tc>
          <w:tcPr>
            <w:tcW w:w="22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30,259</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30,259</w:t>
            </w:r>
          </w:p>
        </w:tc>
        <w:tc>
          <w:tcPr>
            <w:tcW w:w="1080" w:type="dxa"/>
            <w:vAlign w:val="bottom"/>
          </w:tcPr>
          <w:p>
            <w:pPr>
              <w:ind w:left="220"/>
              <w:spacing w:after="0"/>
              <w:rPr>
                <w:sz w:val="20"/>
                <w:szCs w:val="20"/>
                <w:color w:val="auto"/>
              </w:rPr>
            </w:pPr>
            <w:r>
              <w:rPr>
                <w:rFonts w:ascii="Times New Roman" w:cs="Times New Roman" w:eastAsia="Times New Roman" w:hAnsi="Times New Roman"/>
                <w:sz w:val="13"/>
                <w:szCs w:val="13"/>
                <w:color w:val="auto"/>
              </w:rPr>
              <w:t>Floating</w:t>
            </w:r>
          </w:p>
        </w:tc>
        <w:tc>
          <w:tcPr>
            <w:tcW w:w="640" w:type="dxa"/>
            <w:vAlign w:val="bottom"/>
          </w:tcPr>
          <w:p>
            <w:pPr>
              <w:jc w:val="right"/>
              <w:ind w:right="257"/>
              <w:spacing w:after="0"/>
              <w:rPr>
                <w:sz w:val="20"/>
                <w:szCs w:val="20"/>
                <w:color w:val="auto"/>
              </w:rPr>
            </w:pPr>
            <w:r>
              <w:rPr>
                <w:rFonts w:ascii="Times New Roman" w:cs="Times New Roman" w:eastAsia="Times New Roman" w:hAnsi="Times New Roman"/>
                <w:sz w:val="13"/>
                <w:szCs w:val="13"/>
                <w:color w:val="auto"/>
              </w:rPr>
              <w:t>3.8%</w:t>
            </w:r>
          </w:p>
        </w:tc>
        <w:tc>
          <w:tcPr>
            <w:tcW w:w="820" w:type="dxa"/>
            <w:vAlign w:val="bottom"/>
          </w:tcPr>
          <w:p>
            <w:pPr>
              <w:jc w:val="right"/>
              <w:ind w:right="177"/>
              <w:spacing w:after="0"/>
              <w:rPr>
                <w:sz w:val="20"/>
                <w:szCs w:val="20"/>
                <w:color w:val="auto"/>
              </w:rPr>
            </w:pPr>
            <w:r>
              <w:rPr>
                <w:rFonts w:ascii="Times New Roman" w:cs="Times New Roman" w:eastAsia="Times New Roman" w:hAnsi="Times New Roman"/>
                <w:sz w:val="13"/>
                <w:szCs w:val="13"/>
                <w:color w:val="auto"/>
              </w:rPr>
              <w:t>7.7%</w:t>
            </w:r>
          </w:p>
        </w:tc>
        <w:tc>
          <w:tcPr>
            <w:tcW w:w="106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5"/>
              </w:rPr>
              <w:t>4/9/2027</w:t>
            </w:r>
          </w:p>
        </w:tc>
        <w:tc>
          <w:tcPr>
            <w:tcW w:w="900" w:type="dxa"/>
            <w:vAlign w:val="bottom"/>
          </w:tcPr>
          <w:p>
            <w:pPr>
              <w:jc w:val="right"/>
              <w:ind w:right="337"/>
              <w:spacing w:after="0"/>
              <w:rPr>
                <w:sz w:val="20"/>
                <w:szCs w:val="20"/>
                <w:color w:val="auto"/>
              </w:rPr>
            </w:pPr>
            <w:r>
              <w:rPr>
                <w:rFonts w:ascii="Times New Roman" w:cs="Times New Roman" w:eastAsia="Times New Roman" w:hAnsi="Times New Roman"/>
                <w:sz w:val="13"/>
                <w:szCs w:val="13"/>
                <w:color w:val="auto"/>
              </w:rPr>
              <w:t>67%</w:t>
            </w:r>
          </w:p>
        </w:tc>
        <w:tc>
          <w:tcPr>
            <w:tcW w:w="840" w:type="dxa"/>
            <w:vAlign w:val="bottom"/>
          </w:tcPr>
          <w:p>
            <w:pPr>
              <w:jc w:val="right"/>
              <w:ind w:right="317"/>
              <w:spacing w:after="0"/>
              <w:rPr>
                <w:sz w:val="20"/>
                <w:szCs w:val="20"/>
                <w:color w:val="auto"/>
              </w:rPr>
            </w:pPr>
            <w:r>
              <w:rPr>
                <w:rFonts w:ascii="Times New Roman" w:cs="Times New Roman" w:eastAsia="Times New Roman" w:hAnsi="Times New Roman"/>
                <w:sz w:val="13"/>
                <w:szCs w:val="13"/>
                <w:color w:val="auto"/>
              </w:rPr>
              <w:t>4</w:t>
            </w:r>
          </w:p>
        </w:tc>
      </w:tr>
      <w:tr>
        <w:trPr>
          <w:trHeight w:val="197"/>
        </w:trPr>
        <w:tc>
          <w:tcPr>
            <w:tcW w:w="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Loan 93</w:t>
            </w:r>
          </w:p>
        </w:tc>
        <w:tc>
          <w:tcPr>
            <w:tcW w:w="11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3"/>
                <w:szCs w:val="13"/>
                <w:color w:val="auto"/>
              </w:rPr>
              <w:t>Senior</w:t>
            </w:r>
          </w:p>
        </w:tc>
        <w:tc>
          <w:tcPr>
            <w:tcW w:w="8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8"/>
              </w:rPr>
              <w:t>3/31/2022</w:t>
            </w:r>
          </w:p>
        </w:tc>
        <w:tc>
          <w:tcPr>
            <w:tcW w:w="15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Blue Bell, PA</w:t>
            </w:r>
          </w:p>
        </w:tc>
        <w:tc>
          <w:tcPr>
            <w:tcW w:w="22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29,590</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29,590</w:t>
            </w:r>
          </w:p>
        </w:tc>
        <w:tc>
          <w:tcPr>
            <w:tcW w:w="10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3"/>
                <w:szCs w:val="13"/>
                <w:color w:val="auto"/>
              </w:rPr>
              <w:t>Floating</w:t>
            </w:r>
          </w:p>
        </w:tc>
        <w:tc>
          <w:tcPr>
            <w:tcW w:w="640" w:type="dxa"/>
            <w:vAlign w:val="bottom"/>
            <w:shd w:val="clear" w:color="auto" w:fill="CCEEFF"/>
          </w:tcPr>
          <w:p>
            <w:pPr>
              <w:jc w:val="right"/>
              <w:ind w:right="257"/>
              <w:spacing w:after="0"/>
              <w:rPr>
                <w:sz w:val="20"/>
                <w:szCs w:val="20"/>
                <w:color w:val="auto"/>
              </w:rPr>
            </w:pPr>
            <w:r>
              <w:rPr>
                <w:rFonts w:ascii="Times New Roman" w:cs="Times New Roman" w:eastAsia="Times New Roman" w:hAnsi="Times New Roman"/>
                <w:sz w:val="13"/>
                <w:szCs w:val="13"/>
                <w:color w:val="auto"/>
              </w:rPr>
              <w:t>4.2%</w:t>
            </w:r>
          </w:p>
        </w:tc>
        <w:tc>
          <w:tcPr>
            <w:tcW w:w="820" w:type="dxa"/>
            <w:vAlign w:val="bottom"/>
            <w:shd w:val="clear" w:color="auto" w:fill="CCEEFF"/>
          </w:tcPr>
          <w:p>
            <w:pPr>
              <w:jc w:val="right"/>
              <w:ind w:right="177"/>
              <w:spacing w:after="0"/>
              <w:rPr>
                <w:sz w:val="20"/>
                <w:szCs w:val="20"/>
                <w:color w:val="auto"/>
              </w:rPr>
            </w:pPr>
            <w:r>
              <w:rPr>
                <w:rFonts w:ascii="Times New Roman" w:cs="Times New Roman" w:eastAsia="Times New Roman" w:hAnsi="Times New Roman"/>
                <w:sz w:val="13"/>
                <w:szCs w:val="13"/>
                <w:color w:val="auto"/>
              </w:rPr>
              <w:t>8.1%</w:t>
            </w:r>
          </w:p>
        </w:tc>
        <w:tc>
          <w:tcPr>
            <w:tcW w:w="10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5"/>
              </w:rPr>
              <w:t>4/9/2027</w:t>
            </w:r>
          </w:p>
        </w:tc>
        <w:tc>
          <w:tcPr>
            <w:tcW w:w="900" w:type="dxa"/>
            <w:vAlign w:val="bottom"/>
            <w:shd w:val="clear" w:color="auto" w:fill="CCEEFF"/>
          </w:tcPr>
          <w:p>
            <w:pPr>
              <w:jc w:val="right"/>
              <w:ind w:right="337"/>
              <w:spacing w:after="0"/>
              <w:rPr>
                <w:sz w:val="20"/>
                <w:szCs w:val="20"/>
                <w:color w:val="auto"/>
              </w:rPr>
            </w:pPr>
            <w:r>
              <w:rPr>
                <w:rFonts w:ascii="Times New Roman" w:cs="Times New Roman" w:eastAsia="Times New Roman" w:hAnsi="Times New Roman"/>
                <w:sz w:val="13"/>
                <w:szCs w:val="13"/>
                <w:color w:val="auto"/>
              </w:rPr>
              <w:t>59%</w:t>
            </w:r>
          </w:p>
        </w:tc>
        <w:tc>
          <w:tcPr>
            <w:tcW w:w="840" w:type="dxa"/>
            <w:vAlign w:val="bottom"/>
            <w:shd w:val="clear" w:color="auto" w:fill="CCEEFF"/>
          </w:tcPr>
          <w:p>
            <w:pPr>
              <w:jc w:val="right"/>
              <w:ind w:right="317"/>
              <w:spacing w:after="0"/>
              <w:rPr>
                <w:sz w:val="20"/>
                <w:szCs w:val="20"/>
                <w:color w:val="auto"/>
              </w:rPr>
            </w:pPr>
            <w:r>
              <w:rPr>
                <w:rFonts w:ascii="Times New Roman" w:cs="Times New Roman" w:eastAsia="Times New Roman" w:hAnsi="Times New Roman"/>
                <w:sz w:val="13"/>
                <w:szCs w:val="13"/>
                <w:color w:val="auto"/>
              </w:rPr>
              <w:t>4</w:t>
            </w:r>
          </w:p>
        </w:tc>
      </w:tr>
      <w:tr>
        <w:trPr>
          <w:trHeight w:val="183"/>
        </w:trPr>
        <w:tc>
          <w:tcPr>
            <w:tcW w:w="6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3"/>
                <w:szCs w:val="13"/>
                <w:color w:val="auto"/>
              </w:rPr>
              <w:t>Loan 94</w:t>
            </w:r>
          </w:p>
        </w:tc>
        <w:tc>
          <w:tcPr>
            <w:tcW w:w="114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3"/>
                <w:szCs w:val="13"/>
                <w:color w:val="auto"/>
              </w:rPr>
              <w:t>Senior</w:t>
            </w:r>
          </w:p>
        </w:tc>
        <w:tc>
          <w:tcPr>
            <w:tcW w:w="840" w:type="dxa"/>
            <w:vAlign w:val="bottom"/>
            <w:tcBorders>
              <w:bottom w:val="single" w:sz="8" w:color="CCEEFF"/>
            </w:tcBorders>
          </w:tcPr>
          <w:p>
            <w:pPr>
              <w:jc w:val="center"/>
              <w:spacing w:after="0"/>
              <w:rPr>
                <w:sz w:val="20"/>
                <w:szCs w:val="20"/>
                <w:color w:val="auto"/>
              </w:rPr>
            </w:pPr>
            <w:r>
              <w:rPr>
                <w:rFonts w:ascii="Times New Roman" w:cs="Times New Roman" w:eastAsia="Times New Roman" w:hAnsi="Times New Roman"/>
                <w:sz w:val="13"/>
                <w:szCs w:val="13"/>
                <w:color w:val="auto"/>
                <w:w w:val="98"/>
              </w:rPr>
              <w:t>2/26/2019</w:t>
            </w:r>
          </w:p>
        </w:tc>
        <w:tc>
          <w:tcPr>
            <w:tcW w:w="15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3"/>
                <w:szCs w:val="13"/>
                <w:color w:val="auto"/>
              </w:rPr>
              <w:t>Charlotte, NC</w:t>
            </w:r>
          </w:p>
        </w:tc>
        <w:tc>
          <w:tcPr>
            <w:tcW w:w="22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27,084</w:t>
            </w:r>
          </w:p>
        </w:tc>
        <w:tc>
          <w:tcPr>
            <w:tcW w:w="10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27,084</w:t>
            </w:r>
          </w:p>
        </w:tc>
        <w:tc>
          <w:tcPr>
            <w:tcW w:w="108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3"/>
                <w:szCs w:val="13"/>
                <w:color w:val="auto"/>
              </w:rPr>
              <w:t>Floating</w:t>
            </w:r>
          </w:p>
        </w:tc>
        <w:tc>
          <w:tcPr>
            <w:tcW w:w="640" w:type="dxa"/>
            <w:vAlign w:val="bottom"/>
            <w:tcBorders>
              <w:bottom w:val="single" w:sz="8" w:color="CCEEFF"/>
            </w:tcBorders>
          </w:tcPr>
          <w:p>
            <w:pPr>
              <w:jc w:val="right"/>
              <w:ind w:right="257"/>
              <w:spacing w:after="0"/>
              <w:rPr>
                <w:sz w:val="20"/>
                <w:szCs w:val="20"/>
                <w:color w:val="auto"/>
              </w:rPr>
            </w:pPr>
            <w:r>
              <w:rPr>
                <w:rFonts w:ascii="Times New Roman" w:cs="Times New Roman" w:eastAsia="Times New Roman" w:hAnsi="Times New Roman"/>
                <w:sz w:val="13"/>
                <w:szCs w:val="13"/>
                <w:color w:val="auto"/>
              </w:rPr>
              <w:t>4.3%</w:t>
            </w:r>
          </w:p>
        </w:tc>
        <w:tc>
          <w:tcPr>
            <w:tcW w:w="820" w:type="dxa"/>
            <w:vAlign w:val="bottom"/>
            <w:tcBorders>
              <w:bottom w:val="single" w:sz="8" w:color="CCEEFF"/>
            </w:tcBorders>
          </w:tcPr>
          <w:p>
            <w:pPr>
              <w:jc w:val="right"/>
              <w:ind w:right="177"/>
              <w:spacing w:after="0"/>
              <w:rPr>
                <w:sz w:val="20"/>
                <w:szCs w:val="20"/>
                <w:color w:val="auto"/>
              </w:rPr>
            </w:pPr>
            <w:r>
              <w:rPr>
                <w:rFonts w:ascii="Times New Roman" w:cs="Times New Roman" w:eastAsia="Times New Roman" w:hAnsi="Times New Roman"/>
                <w:sz w:val="13"/>
                <w:szCs w:val="13"/>
                <w:color w:val="auto"/>
              </w:rPr>
              <w:t>8.2%</w:t>
            </w:r>
          </w:p>
        </w:tc>
        <w:tc>
          <w:tcPr>
            <w:tcW w:w="1060" w:type="dxa"/>
            <w:vAlign w:val="bottom"/>
            <w:tcBorders>
              <w:bottom w:val="single" w:sz="8" w:color="CCEEFF"/>
            </w:tcBorders>
          </w:tcPr>
          <w:p>
            <w:pPr>
              <w:jc w:val="center"/>
              <w:spacing w:after="0"/>
              <w:rPr>
                <w:sz w:val="20"/>
                <w:szCs w:val="20"/>
                <w:color w:val="auto"/>
              </w:rPr>
            </w:pPr>
            <w:r>
              <w:rPr>
                <w:rFonts w:ascii="Times New Roman" w:cs="Times New Roman" w:eastAsia="Times New Roman" w:hAnsi="Times New Roman"/>
                <w:sz w:val="13"/>
                <w:szCs w:val="13"/>
                <w:color w:val="auto"/>
                <w:w w:val="95"/>
              </w:rPr>
              <w:t>7/9/2027</w:t>
            </w:r>
          </w:p>
        </w:tc>
        <w:tc>
          <w:tcPr>
            <w:tcW w:w="900" w:type="dxa"/>
            <w:vAlign w:val="bottom"/>
            <w:tcBorders>
              <w:bottom w:val="single" w:sz="8" w:color="CCEEFF"/>
            </w:tcBorders>
          </w:tcPr>
          <w:p>
            <w:pPr>
              <w:jc w:val="right"/>
              <w:ind w:right="337"/>
              <w:spacing w:after="0"/>
              <w:rPr>
                <w:sz w:val="20"/>
                <w:szCs w:val="20"/>
                <w:color w:val="auto"/>
              </w:rPr>
            </w:pPr>
            <w:r>
              <w:rPr>
                <w:rFonts w:ascii="Times New Roman" w:cs="Times New Roman" w:eastAsia="Times New Roman" w:hAnsi="Times New Roman"/>
                <w:sz w:val="13"/>
                <w:szCs w:val="13"/>
                <w:color w:val="auto"/>
              </w:rPr>
              <w:t>56%</w:t>
            </w:r>
          </w:p>
        </w:tc>
        <w:tc>
          <w:tcPr>
            <w:tcW w:w="840" w:type="dxa"/>
            <w:vAlign w:val="bottom"/>
            <w:tcBorders>
              <w:bottom w:val="single" w:sz="8" w:color="CCEEFF"/>
            </w:tcBorders>
          </w:tcPr>
          <w:p>
            <w:pPr>
              <w:jc w:val="right"/>
              <w:ind w:right="317"/>
              <w:spacing w:after="0"/>
              <w:rPr>
                <w:sz w:val="20"/>
                <w:szCs w:val="20"/>
                <w:color w:val="auto"/>
              </w:rPr>
            </w:pPr>
            <w:r>
              <w:rPr>
                <w:rFonts w:ascii="Times New Roman" w:cs="Times New Roman" w:eastAsia="Times New Roman" w:hAnsi="Times New Roman"/>
                <w:sz w:val="13"/>
                <w:szCs w:val="13"/>
                <w:color w:val="auto"/>
              </w:rPr>
              <w:t>3</w:t>
            </w:r>
          </w:p>
        </w:tc>
      </w:tr>
      <w:tr>
        <w:trPr>
          <w:trHeight w:val="203"/>
        </w:trPr>
        <w:tc>
          <w:tcPr>
            <w:tcW w:w="18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Subtotal top 10 office loans</w:t>
            </w:r>
          </w:p>
        </w:tc>
        <w:tc>
          <w:tcPr>
            <w:tcW w:w="840" w:type="dxa"/>
            <w:vAlign w:val="bottom"/>
            <w:shd w:val="clear" w:color="auto" w:fill="CCEEFF"/>
          </w:tcPr>
          <w:p>
            <w:pPr>
              <w:spacing w:after="0"/>
              <w:rPr>
                <w:sz w:val="17"/>
                <w:szCs w:val="17"/>
                <w:color w:val="auto"/>
              </w:rPr>
            </w:pPr>
          </w:p>
        </w:tc>
        <w:tc>
          <w:tcPr>
            <w:tcW w:w="154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77"/>
              <w:spacing w:after="0"/>
              <w:rPr>
                <w:sz w:val="20"/>
                <w:szCs w:val="20"/>
                <w:color w:val="auto"/>
              </w:rPr>
            </w:pPr>
            <w:r>
              <w:rPr>
                <w:rFonts w:ascii="Times New Roman" w:cs="Times New Roman" w:eastAsia="Times New Roman" w:hAnsi="Times New Roman"/>
                <w:sz w:val="13"/>
                <w:szCs w:val="13"/>
                <w:color w:val="auto"/>
                <w:w w:val="91"/>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448,371</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color w:val="auto"/>
                <w:w w:val="91"/>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447,726</w:t>
            </w:r>
          </w:p>
        </w:tc>
        <w:tc>
          <w:tcPr>
            <w:tcW w:w="10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15% of total loans</w:t>
            </w:r>
          </w:p>
        </w:tc>
        <w:tc>
          <w:tcPr>
            <w:tcW w:w="6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r>
      <w:tr>
        <w:trPr>
          <w:trHeight w:val="432"/>
        </w:trPr>
        <w:tc>
          <w:tcPr>
            <w:tcW w:w="6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189"/>
        </w:trPr>
        <w:tc>
          <w:tcPr>
            <w:tcW w:w="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Loan 95</w:t>
            </w:r>
          </w:p>
        </w:tc>
        <w:tc>
          <w:tcPr>
            <w:tcW w:w="11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3"/>
                <w:szCs w:val="13"/>
                <w:color w:val="auto"/>
              </w:rPr>
              <w:t>Senior</w:t>
            </w:r>
          </w:p>
        </w:tc>
        <w:tc>
          <w:tcPr>
            <w:tcW w:w="8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8"/>
              </w:rPr>
              <w:t>12/7/2018</w:t>
            </w:r>
          </w:p>
        </w:tc>
        <w:tc>
          <w:tcPr>
            <w:tcW w:w="15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Carlsbad, CA</w:t>
            </w:r>
          </w:p>
        </w:tc>
        <w:tc>
          <w:tcPr>
            <w:tcW w:w="22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26,668</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26,290</w:t>
            </w:r>
          </w:p>
        </w:tc>
        <w:tc>
          <w:tcPr>
            <w:tcW w:w="10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3"/>
                <w:szCs w:val="13"/>
                <w:color w:val="auto"/>
              </w:rPr>
              <w:t>Floating</w:t>
            </w:r>
          </w:p>
        </w:tc>
        <w:tc>
          <w:tcPr>
            <w:tcW w:w="640" w:type="dxa"/>
            <w:vAlign w:val="bottom"/>
            <w:shd w:val="clear" w:color="auto" w:fill="CCEEFF"/>
          </w:tcPr>
          <w:p>
            <w:pPr>
              <w:jc w:val="right"/>
              <w:ind w:right="257"/>
              <w:spacing w:after="0"/>
              <w:rPr>
                <w:sz w:val="20"/>
                <w:szCs w:val="20"/>
                <w:color w:val="auto"/>
              </w:rPr>
            </w:pPr>
            <w:r>
              <w:rPr>
                <w:rFonts w:ascii="Times New Roman" w:cs="Times New Roman" w:eastAsia="Times New Roman" w:hAnsi="Times New Roman"/>
                <w:sz w:val="13"/>
                <w:szCs w:val="13"/>
                <w:color w:val="auto"/>
              </w:rPr>
              <w:t>3.9%</w:t>
            </w:r>
          </w:p>
        </w:tc>
        <w:tc>
          <w:tcPr>
            <w:tcW w:w="820" w:type="dxa"/>
            <w:vAlign w:val="bottom"/>
            <w:shd w:val="clear" w:color="auto" w:fill="CCEEFF"/>
          </w:tcPr>
          <w:p>
            <w:pPr>
              <w:jc w:val="right"/>
              <w:ind w:right="177"/>
              <w:spacing w:after="0"/>
              <w:rPr>
                <w:sz w:val="20"/>
                <w:szCs w:val="20"/>
                <w:color w:val="auto"/>
              </w:rPr>
            </w:pPr>
            <w:r>
              <w:rPr>
                <w:rFonts w:ascii="Times New Roman" w:cs="Times New Roman" w:eastAsia="Times New Roman" w:hAnsi="Times New Roman"/>
                <w:sz w:val="13"/>
                <w:szCs w:val="13"/>
                <w:color w:val="auto"/>
              </w:rPr>
              <w:t>7.8%</w:t>
            </w:r>
          </w:p>
        </w:tc>
        <w:tc>
          <w:tcPr>
            <w:tcW w:w="10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8"/>
              </w:rPr>
              <w:t>12/9/2026</w:t>
            </w:r>
          </w:p>
        </w:tc>
        <w:tc>
          <w:tcPr>
            <w:tcW w:w="900" w:type="dxa"/>
            <w:vAlign w:val="bottom"/>
            <w:shd w:val="clear" w:color="auto" w:fill="CCEEFF"/>
          </w:tcPr>
          <w:p>
            <w:pPr>
              <w:jc w:val="right"/>
              <w:ind w:right="337"/>
              <w:spacing w:after="0"/>
              <w:rPr>
                <w:sz w:val="20"/>
                <w:szCs w:val="20"/>
                <w:color w:val="auto"/>
              </w:rPr>
            </w:pPr>
            <w:r>
              <w:rPr>
                <w:rFonts w:ascii="Times New Roman" w:cs="Times New Roman" w:eastAsia="Times New Roman" w:hAnsi="Times New Roman"/>
                <w:sz w:val="13"/>
                <w:szCs w:val="13"/>
                <w:color w:val="auto"/>
              </w:rPr>
              <w:t>74%</w:t>
            </w:r>
          </w:p>
        </w:tc>
        <w:tc>
          <w:tcPr>
            <w:tcW w:w="840" w:type="dxa"/>
            <w:vAlign w:val="bottom"/>
            <w:shd w:val="clear" w:color="auto" w:fill="CCEEFF"/>
          </w:tcPr>
          <w:p>
            <w:pPr>
              <w:jc w:val="right"/>
              <w:ind w:right="317"/>
              <w:spacing w:after="0"/>
              <w:rPr>
                <w:sz w:val="20"/>
                <w:szCs w:val="20"/>
                <w:color w:val="auto"/>
              </w:rPr>
            </w:pPr>
            <w:r>
              <w:rPr>
                <w:rFonts w:ascii="Times New Roman" w:cs="Times New Roman" w:eastAsia="Times New Roman" w:hAnsi="Times New Roman"/>
                <w:sz w:val="13"/>
                <w:szCs w:val="13"/>
                <w:color w:val="auto"/>
              </w:rPr>
              <w:t>3</w:t>
            </w:r>
          </w:p>
        </w:tc>
      </w:tr>
      <w:tr>
        <w:trPr>
          <w:trHeight w:val="173"/>
        </w:trPr>
        <w:tc>
          <w:tcPr>
            <w:tcW w:w="6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Loan 96</w:t>
            </w:r>
          </w:p>
        </w:tc>
        <w:tc>
          <w:tcPr>
            <w:tcW w:w="1140" w:type="dxa"/>
            <w:vAlign w:val="bottom"/>
          </w:tcPr>
          <w:p>
            <w:pPr>
              <w:ind w:left="240"/>
              <w:spacing w:after="0"/>
              <w:rPr>
                <w:sz w:val="20"/>
                <w:szCs w:val="20"/>
                <w:color w:val="auto"/>
              </w:rPr>
            </w:pPr>
            <w:r>
              <w:rPr>
                <w:rFonts w:ascii="Times New Roman" w:cs="Times New Roman" w:eastAsia="Times New Roman" w:hAnsi="Times New Roman"/>
                <w:sz w:val="13"/>
                <w:szCs w:val="13"/>
                <w:color w:val="auto"/>
              </w:rPr>
              <w:t>Senior</w:t>
            </w:r>
          </w:p>
        </w:tc>
        <w:tc>
          <w:tcPr>
            <w:tcW w:w="84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8"/>
              </w:rPr>
              <w:t>7/30/2021</w:t>
            </w:r>
          </w:p>
        </w:tc>
        <w:tc>
          <w:tcPr>
            <w:tcW w:w="154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Denver, CO</w:t>
            </w:r>
          </w:p>
        </w:tc>
        <w:tc>
          <w:tcPr>
            <w:tcW w:w="22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23,896</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23,896</w:t>
            </w:r>
          </w:p>
        </w:tc>
        <w:tc>
          <w:tcPr>
            <w:tcW w:w="1080" w:type="dxa"/>
            <w:vAlign w:val="bottom"/>
          </w:tcPr>
          <w:p>
            <w:pPr>
              <w:ind w:left="220"/>
              <w:spacing w:after="0"/>
              <w:rPr>
                <w:sz w:val="20"/>
                <w:szCs w:val="20"/>
                <w:color w:val="auto"/>
              </w:rPr>
            </w:pPr>
            <w:r>
              <w:rPr>
                <w:rFonts w:ascii="Times New Roman" w:cs="Times New Roman" w:eastAsia="Times New Roman" w:hAnsi="Times New Roman"/>
                <w:sz w:val="13"/>
                <w:szCs w:val="13"/>
                <w:color w:val="auto"/>
              </w:rPr>
              <w:t>Floating</w:t>
            </w:r>
          </w:p>
        </w:tc>
        <w:tc>
          <w:tcPr>
            <w:tcW w:w="640" w:type="dxa"/>
            <w:vAlign w:val="bottom"/>
          </w:tcPr>
          <w:p>
            <w:pPr>
              <w:jc w:val="right"/>
              <w:ind w:right="257"/>
              <w:spacing w:after="0"/>
              <w:rPr>
                <w:sz w:val="20"/>
                <w:szCs w:val="20"/>
                <w:color w:val="auto"/>
              </w:rPr>
            </w:pPr>
            <w:r>
              <w:rPr>
                <w:rFonts w:ascii="Times New Roman" w:cs="Times New Roman" w:eastAsia="Times New Roman" w:hAnsi="Times New Roman"/>
                <w:sz w:val="13"/>
                <w:szCs w:val="13"/>
                <w:color w:val="auto"/>
              </w:rPr>
              <w:t>5.0%</w:t>
            </w:r>
          </w:p>
        </w:tc>
        <w:tc>
          <w:tcPr>
            <w:tcW w:w="820" w:type="dxa"/>
            <w:vAlign w:val="bottom"/>
          </w:tcPr>
          <w:p>
            <w:pPr>
              <w:jc w:val="right"/>
              <w:ind w:right="177"/>
              <w:spacing w:after="0"/>
              <w:rPr>
                <w:sz w:val="20"/>
                <w:szCs w:val="20"/>
                <w:color w:val="auto"/>
              </w:rPr>
            </w:pPr>
            <w:r>
              <w:rPr>
                <w:rFonts w:ascii="Times New Roman" w:cs="Times New Roman" w:eastAsia="Times New Roman" w:hAnsi="Times New Roman"/>
                <w:sz w:val="13"/>
                <w:szCs w:val="13"/>
                <w:color w:val="auto"/>
              </w:rPr>
              <w:t>8.9%</w:t>
            </w:r>
          </w:p>
        </w:tc>
        <w:tc>
          <w:tcPr>
            <w:tcW w:w="106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5"/>
              </w:rPr>
              <w:t>8/9/2027</w:t>
            </w:r>
          </w:p>
        </w:tc>
        <w:tc>
          <w:tcPr>
            <w:tcW w:w="900" w:type="dxa"/>
            <w:vAlign w:val="bottom"/>
          </w:tcPr>
          <w:p>
            <w:pPr>
              <w:jc w:val="right"/>
              <w:ind w:right="337"/>
              <w:spacing w:after="0"/>
              <w:rPr>
                <w:sz w:val="20"/>
                <w:szCs w:val="20"/>
                <w:color w:val="auto"/>
              </w:rPr>
            </w:pPr>
            <w:r>
              <w:rPr>
                <w:rFonts w:ascii="Times New Roman" w:cs="Times New Roman" w:eastAsia="Times New Roman" w:hAnsi="Times New Roman"/>
                <w:sz w:val="13"/>
                <w:szCs w:val="13"/>
                <w:color w:val="auto"/>
              </w:rPr>
              <w:t>72%</w:t>
            </w:r>
          </w:p>
        </w:tc>
        <w:tc>
          <w:tcPr>
            <w:tcW w:w="840" w:type="dxa"/>
            <w:vAlign w:val="bottom"/>
          </w:tcPr>
          <w:p>
            <w:pPr>
              <w:jc w:val="right"/>
              <w:ind w:right="317"/>
              <w:spacing w:after="0"/>
              <w:rPr>
                <w:sz w:val="20"/>
                <w:szCs w:val="20"/>
                <w:color w:val="auto"/>
              </w:rPr>
            </w:pPr>
            <w:r>
              <w:rPr>
                <w:rFonts w:ascii="Times New Roman" w:cs="Times New Roman" w:eastAsia="Times New Roman" w:hAnsi="Times New Roman"/>
                <w:sz w:val="13"/>
                <w:szCs w:val="13"/>
                <w:color w:val="auto"/>
              </w:rPr>
              <w:t>3</w:t>
            </w:r>
          </w:p>
        </w:tc>
      </w:tr>
    </w:tbl>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9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w w:val="98"/>
              </w:rPr>
              <w:t>Origination</w:t>
            </w:r>
          </w:p>
        </w:tc>
        <w:tc>
          <w:tcPr>
            <w:tcW w:w="1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gridSpan w:val="2"/>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w w:val="97"/>
              </w:rPr>
              <w:t>Carrying</w:t>
            </w:r>
          </w:p>
        </w:tc>
        <w:tc>
          <w:tcPr>
            <w:tcW w:w="120" w:type="dxa"/>
            <w:vAlign w:val="bottom"/>
          </w:tcPr>
          <w:p>
            <w:pPr>
              <w:spacing w:after="0"/>
              <w:rPr>
                <w:sz w:val="12"/>
                <w:szCs w:val="12"/>
                <w:color w:val="auto"/>
              </w:rPr>
            </w:pPr>
          </w:p>
        </w:tc>
        <w:tc>
          <w:tcPr>
            <w:tcW w:w="680" w:type="dxa"/>
            <w:vAlign w:val="bottom"/>
          </w:tcPr>
          <w:p>
            <w:pPr>
              <w:jc w:val="right"/>
              <w:ind w:right="97"/>
              <w:spacing w:after="0"/>
              <w:rPr>
                <w:sz w:val="20"/>
                <w:szCs w:val="20"/>
                <w:color w:val="auto"/>
              </w:rPr>
            </w:pPr>
            <w:r>
              <w:rPr>
                <w:rFonts w:ascii="Times New Roman" w:cs="Times New Roman" w:eastAsia="Times New Roman" w:hAnsi="Times New Roman"/>
                <w:sz w:val="13"/>
                <w:szCs w:val="13"/>
                <w:b w:val="1"/>
                <w:bCs w:val="1"/>
                <w:color w:val="auto"/>
                <w:w w:val="97"/>
              </w:rPr>
              <w:t>Principal</w:t>
            </w:r>
          </w:p>
        </w:tc>
        <w:tc>
          <w:tcPr>
            <w:tcW w:w="80" w:type="dxa"/>
            <w:vAlign w:val="bottom"/>
          </w:tcPr>
          <w:p>
            <w:pPr>
              <w:spacing w:after="0"/>
              <w:rPr>
                <w:sz w:val="12"/>
                <w:szCs w:val="12"/>
                <w:color w:val="auto"/>
              </w:rPr>
            </w:pPr>
          </w:p>
        </w:tc>
        <w:tc>
          <w:tcPr>
            <w:tcW w:w="800" w:type="dxa"/>
            <w:vAlign w:val="bottom"/>
            <w:gridSpan w:val="2"/>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w w:val="99"/>
              </w:rPr>
              <w:t>Coupon</w:t>
            </w:r>
          </w:p>
        </w:tc>
        <w:tc>
          <w:tcPr>
            <w:tcW w:w="880" w:type="dxa"/>
            <w:vAlign w:val="bottom"/>
            <w:gridSpan w:val="2"/>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w w:val="99"/>
              </w:rPr>
              <w:t>Cash</w:t>
            </w:r>
          </w:p>
        </w:tc>
        <w:tc>
          <w:tcPr>
            <w:tcW w:w="90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w w:val="96"/>
              </w:rPr>
              <w:t>Unlevered all-</w:t>
            </w:r>
          </w:p>
        </w:tc>
        <w:tc>
          <w:tcPr>
            <w:tcW w:w="90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w w:val="98"/>
              </w:rPr>
              <w:t>Extended</w:t>
            </w:r>
          </w:p>
        </w:tc>
        <w:tc>
          <w:tcPr>
            <w:tcW w:w="94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w w:val="99"/>
              </w:rPr>
              <w:t>Loan-to-</w:t>
            </w:r>
          </w:p>
        </w:tc>
        <w:tc>
          <w:tcPr>
            <w:tcW w:w="84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Q3 Risk</w:t>
            </w:r>
          </w:p>
        </w:tc>
        <w:tc>
          <w:tcPr>
            <w:tcW w:w="0" w:type="dxa"/>
            <w:vAlign w:val="bottom"/>
          </w:tcPr>
          <w:p>
            <w:pPr>
              <w:spacing w:after="0"/>
              <w:rPr>
                <w:sz w:val="1"/>
                <w:szCs w:val="1"/>
                <w:color w:val="auto"/>
              </w:rPr>
            </w:pPr>
          </w:p>
        </w:tc>
      </w:tr>
      <w:tr>
        <w:trPr>
          <w:trHeight w:val="189"/>
        </w:trPr>
        <w:tc>
          <w:tcPr>
            <w:tcW w:w="900" w:type="dxa"/>
            <w:vAlign w:val="bottom"/>
          </w:tcPr>
          <w:p>
            <w:pPr>
              <w:spacing w:after="0"/>
              <w:rPr>
                <w:sz w:val="16"/>
                <w:szCs w:val="16"/>
                <w:color w:val="auto"/>
              </w:rPr>
            </w:pPr>
          </w:p>
        </w:tc>
        <w:tc>
          <w:tcPr>
            <w:tcW w:w="900" w:type="dxa"/>
            <w:vAlign w:val="bottom"/>
            <w:gridSpan w:val="2"/>
          </w:tcPr>
          <w:p>
            <w:pPr>
              <w:ind w:left="120"/>
              <w:spacing w:after="0"/>
              <w:rPr>
                <w:sz w:val="20"/>
                <w:szCs w:val="20"/>
                <w:color w:val="auto"/>
              </w:rPr>
            </w:pPr>
            <w:r>
              <w:rPr>
                <w:rFonts w:ascii="Times New Roman" w:cs="Times New Roman" w:eastAsia="Times New Roman" w:hAnsi="Times New Roman"/>
                <w:sz w:val="13"/>
                <w:szCs w:val="13"/>
                <w:b w:val="1"/>
                <w:bCs w:val="1"/>
                <w:color w:val="auto"/>
              </w:rPr>
              <w:t>Loan Type</w:t>
            </w:r>
          </w:p>
        </w:tc>
        <w:tc>
          <w:tcPr>
            <w:tcW w:w="98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w w:val="92"/>
              </w:rPr>
              <w:t>Date</w:t>
            </w:r>
          </w:p>
        </w:tc>
        <w:tc>
          <w:tcPr>
            <w:tcW w:w="1420" w:type="dxa"/>
            <w:vAlign w:val="bottom"/>
            <w:gridSpan w:val="2"/>
          </w:tcPr>
          <w:p>
            <w:pPr>
              <w:ind w:left="380"/>
              <w:spacing w:after="0"/>
              <w:rPr>
                <w:sz w:val="20"/>
                <w:szCs w:val="20"/>
                <w:color w:val="auto"/>
              </w:rPr>
            </w:pPr>
            <w:r>
              <w:rPr>
                <w:rFonts w:ascii="Times New Roman" w:cs="Times New Roman" w:eastAsia="Times New Roman" w:hAnsi="Times New Roman"/>
                <w:sz w:val="13"/>
                <w:szCs w:val="13"/>
                <w:b w:val="1"/>
                <w:bCs w:val="1"/>
                <w:color w:val="auto"/>
              </w:rPr>
              <w:t>City, State</w:t>
            </w:r>
          </w:p>
        </w:tc>
        <w:tc>
          <w:tcPr>
            <w:tcW w:w="120" w:type="dxa"/>
            <w:vAlign w:val="bottom"/>
          </w:tcPr>
          <w:p>
            <w:pPr>
              <w:spacing w:after="0"/>
              <w:rPr>
                <w:sz w:val="16"/>
                <w:szCs w:val="16"/>
                <w:color w:val="auto"/>
              </w:rPr>
            </w:pPr>
          </w:p>
        </w:tc>
        <w:tc>
          <w:tcPr>
            <w:tcW w:w="780" w:type="dxa"/>
            <w:vAlign w:val="bottom"/>
            <w:gridSpan w:val="2"/>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w w:val="90"/>
              </w:rPr>
              <w:t>value</w:t>
            </w:r>
            <w:r>
              <w:rPr>
                <w:rFonts w:ascii="Times New Roman" w:cs="Times New Roman" w:eastAsia="Times New Roman" w:hAnsi="Times New Roman"/>
                <w:sz w:val="16"/>
                <w:szCs w:val="16"/>
                <w:b w:val="1"/>
                <w:bCs w:val="1"/>
                <w:color w:val="auto"/>
                <w:w w:val="90"/>
                <w:vertAlign w:val="superscript"/>
              </w:rPr>
              <w:t>(1)</w:t>
            </w:r>
          </w:p>
        </w:tc>
        <w:tc>
          <w:tcPr>
            <w:tcW w:w="120" w:type="dxa"/>
            <w:vAlign w:val="bottom"/>
          </w:tcPr>
          <w:p>
            <w:pPr>
              <w:spacing w:after="0"/>
              <w:rPr>
                <w:sz w:val="16"/>
                <w:szCs w:val="16"/>
                <w:color w:val="auto"/>
              </w:rPr>
            </w:pPr>
          </w:p>
        </w:tc>
        <w:tc>
          <w:tcPr>
            <w:tcW w:w="680" w:type="dxa"/>
            <w:vAlign w:val="bottom"/>
          </w:tcPr>
          <w:p>
            <w:pPr>
              <w:jc w:val="right"/>
              <w:ind w:right="137"/>
              <w:spacing w:after="0"/>
              <w:rPr>
                <w:sz w:val="20"/>
                <w:szCs w:val="20"/>
                <w:color w:val="auto"/>
              </w:rPr>
            </w:pPr>
            <w:r>
              <w:rPr>
                <w:rFonts w:ascii="Times New Roman" w:cs="Times New Roman" w:eastAsia="Times New Roman" w:hAnsi="Times New Roman"/>
                <w:sz w:val="13"/>
                <w:szCs w:val="13"/>
                <w:b w:val="1"/>
                <w:bCs w:val="1"/>
                <w:color w:val="auto"/>
              </w:rPr>
              <w:t>balance</w:t>
            </w:r>
          </w:p>
        </w:tc>
        <w:tc>
          <w:tcPr>
            <w:tcW w:w="80" w:type="dxa"/>
            <w:vAlign w:val="bottom"/>
          </w:tcPr>
          <w:p>
            <w:pPr>
              <w:spacing w:after="0"/>
              <w:rPr>
                <w:sz w:val="16"/>
                <w:szCs w:val="16"/>
                <w:color w:val="auto"/>
              </w:rPr>
            </w:pPr>
          </w:p>
        </w:tc>
        <w:tc>
          <w:tcPr>
            <w:tcW w:w="800" w:type="dxa"/>
            <w:vAlign w:val="bottom"/>
            <w:gridSpan w:val="2"/>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rPr>
              <w:t>type</w:t>
            </w:r>
          </w:p>
        </w:tc>
        <w:tc>
          <w:tcPr>
            <w:tcW w:w="880" w:type="dxa"/>
            <w:vAlign w:val="bottom"/>
            <w:gridSpan w:val="2"/>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w w:val="91"/>
              </w:rPr>
              <w:t>Coupon</w:t>
            </w:r>
            <w:r>
              <w:rPr>
                <w:rFonts w:ascii="Times New Roman" w:cs="Times New Roman" w:eastAsia="Times New Roman" w:hAnsi="Times New Roman"/>
                <w:sz w:val="16"/>
                <w:szCs w:val="16"/>
                <w:b w:val="1"/>
                <w:bCs w:val="1"/>
                <w:color w:val="auto"/>
                <w:w w:val="91"/>
                <w:vertAlign w:val="superscript"/>
              </w:rPr>
              <w:t>(2)</w:t>
            </w:r>
          </w:p>
        </w:tc>
        <w:tc>
          <w:tcPr>
            <w:tcW w:w="90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w w:val="90"/>
              </w:rPr>
              <w:t>in yield</w:t>
            </w:r>
            <w:r>
              <w:rPr>
                <w:rFonts w:ascii="Times New Roman" w:cs="Times New Roman" w:eastAsia="Times New Roman" w:hAnsi="Times New Roman"/>
                <w:sz w:val="16"/>
                <w:szCs w:val="16"/>
                <w:b w:val="1"/>
                <w:bCs w:val="1"/>
                <w:color w:val="auto"/>
                <w:w w:val="90"/>
                <w:vertAlign w:val="superscript"/>
              </w:rPr>
              <w:t>(3)</w:t>
            </w:r>
          </w:p>
        </w:tc>
        <w:tc>
          <w:tcPr>
            <w:tcW w:w="900" w:type="dxa"/>
            <w:vAlign w:val="bottom"/>
            <w:gridSpan w:val="2"/>
          </w:tcPr>
          <w:p>
            <w:pPr>
              <w:jc w:val="center"/>
              <w:ind w:right="120"/>
              <w:spacing w:after="0"/>
              <w:rPr>
                <w:sz w:val="20"/>
                <w:szCs w:val="20"/>
                <w:color w:val="auto"/>
              </w:rPr>
            </w:pPr>
            <w:r>
              <w:rPr>
                <w:rFonts w:ascii="Times New Roman" w:cs="Times New Roman" w:eastAsia="Times New Roman" w:hAnsi="Times New Roman"/>
                <w:sz w:val="13"/>
                <w:szCs w:val="13"/>
                <w:b w:val="1"/>
                <w:bCs w:val="1"/>
                <w:color w:val="auto"/>
                <w:w w:val="97"/>
              </w:rPr>
              <w:t>maturity date</w:t>
            </w:r>
          </w:p>
        </w:tc>
        <w:tc>
          <w:tcPr>
            <w:tcW w:w="940" w:type="dxa"/>
            <w:vAlign w:val="bottom"/>
            <w:gridSpan w:val="2"/>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w w:val="90"/>
              </w:rPr>
              <w:t>value</w:t>
            </w:r>
            <w:r>
              <w:rPr>
                <w:rFonts w:ascii="Times New Roman" w:cs="Times New Roman" w:eastAsia="Times New Roman" w:hAnsi="Times New Roman"/>
                <w:sz w:val="16"/>
                <w:szCs w:val="16"/>
                <w:b w:val="1"/>
                <w:bCs w:val="1"/>
                <w:color w:val="auto"/>
                <w:w w:val="90"/>
                <w:vertAlign w:val="superscript"/>
              </w:rPr>
              <w:t>(4)</w:t>
            </w:r>
          </w:p>
        </w:tc>
        <w:tc>
          <w:tcPr>
            <w:tcW w:w="84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1"/>
              </w:rPr>
              <w:t>ranking</w:t>
            </w:r>
            <w:r>
              <w:rPr>
                <w:rFonts w:ascii="Times New Roman" w:cs="Times New Roman" w:eastAsia="Times New Roman" w:hAnsi="Times New Roman"/>
                <w:sz w:val="16"/>
                <w:szCs w:val="16"/>
                <w:b w:val="1"/>
                <w:bCs w:val="1"/>
                <w:color w:val="auto"/>
                <w:w w:val="91"/>
                <w:vertAlign w:val="superscript"/>
              </w:rPr>
              <w:t>(5)</w:t>
            </w:r>
          </w:p>
        </w:tc>
        <w:tc>
          <w:tcPr>
            <w:tcW w:w="0" w:type="dxa"/>
            <w:vAlign w:val="bottom"/>
          </w:tcPr>
          <w:p>
            <w:pPr>
              <w:spacing w:after="0"/>
              <w:rPr>
                <w:sz w:val="1"/>
                <w:szCs w:val="1"/>
                <w:color w:val="auto"/>
              </w:rPr>
            </w:pPr>
          </w:p>
        </w:tc>
      </w:tr>
      <w:tr>
        <w:trPr>
          <w:trHeight w:val="88"/>
        </w:trPr>
        <w:tc>
          <w:tcPr>
            <w:tcW w:w="90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880" w:type="dxa"/>
            <w:vAlign w:val="bottom"/>
            <w:tcBorders>
              <w:top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1340" w:type="dxa"/>
            <w:vAlign w:val="bottom"/>
            <w:tcBorders>
              <w:top w:val="single" w:sz="8" w:color="auto"/>
            </w:tcBorders>
          </w:tcPr>
          <w:p>
            <w:pPr>
              <w:spacing w:after="0"/>
              <w:rPr>
                <w:sz w:val="7"/>
                <w:szCs w:val="7"/>
                <w:color w:val="auto"/>
              </w:rPr>
            </w:pPr>
          </w:p>
        </w:tc>
        <w:tc>
          <w:tcPr>
            <w:tcW w:w="80" w:type="dxa"/>
            <w:vAlign w:val="bottom"/>
          </w:tcPr>
          <w:p>
            <w:pPr>
              <w:spacing w:after="0"/>
              <w:rPr>
                <w:sz w:val="7"/>
                <w:szCs w:val="7"/>
                <w:color w:val="auto"/>
              </w:rPr>
            </w:pPr>
          </w:p>
        </w:tc>
        <w:tc>
          <w:tcPr>
            <w:tcW w:w="120" w:type="dxa"/>
            <w:vAlign w:val="bottom"/>
            <w:tcBorders>
              <w:top w:val="single" w:sz="8" w:color="auto"/>
            </w:tcBorders>
          </w:tcPr>
          <w:p>
            <w:pPr>
              <w:spacing w:after="0"/>
              <w:rPr>
                <w:sz w:val="7"/>
                <w:szCs w:val="7"/>
                <w:color w:val="auto"/>
              </w:rPr>
            </w:pPr>
          </w:p>
        </w:tc>
        <w:tc>
          <w:tcPr>
            <w:tcW w:w="680" w:type="dxa"/>
            <w:vAlign w:val="bottom"/>
            <w:tcBorders>
              <w:top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120" w:type="dxa"/>
            <w:vAlign w:val="bottom"/>
            <w:tcBorders>
              <w:top w:val="single" w:sz="8" w:color="auto"/>
            </w:tcBorders>
          </w:tcPr>
          <w:p>
            <w:pPr>
              <w:spacing w:after="0"/>
              <w:rPr>
                <w:sz w:val="7"/>
                <w:szCs w:val="7"/>
                <w:color w:val="auto"/>
              </w:rPr>
            </w:pPr>
          </w:p>
        </w:tc>
        <w:tc>
          <w:tcPr>
            <w:tcW w:w="680" w:type="dxa"/>
            <w:vAlign w:val="bottom"/>
            <w:tcBorders>
              <w:top w:val="single" w:sz="8" w:color="auto"/>
            </w:tcBorders>
          </w:tcPr>
          <w:p>
            <w:pPr>
              <w:spacing w:after="0"/>
              <w:rPr>
                <w:sz w:val="7"/>
                <w:szCs w:val="7"/>
                <w:color w:val="auto"/>
              </w:rPr>
            </w:pPr>
          </w:p>
        </w:tc>
        <w:tc>
          <w:tcPr>
            <w:tcW w:w="80" w:type="dxa"/>
            <w:vAlign w:val="bottom"/>
          </w:tcPr>
          <w:p>
            <w:pPr>
              <w:spacing w:after="0"/>
              <w:rPr>
                <w:sz w:val="7"/>
                <w:szCs w:val="7"/>
                <w:color w:val="auto"/>
              </w:rPr>
            </w:pPr>
          </w:p>
        </w:tc>
        <w:tc>
          <w:tcPr>
            <w:tcW w:w="720" w:type="dxa"/>
            <w:vAlign w:val="bottom"/>
            <w:tcBorders>
              <w:top w:val="single" w:sz="8" w:color="auto"/>
            </w:tcBorders>
          </w:tcPr>
          <w:p>
            <w:pPr>
              <w:spacing w:after="0"/>
              <w:rPr>
                <w:sz w:val="7"/>
                <w:szCs w:val="7"/>
                <w:color w:val="auto"/>
              </w:rPr>
            </w:pPr>
          </w:p>
        </w:tc>
        <w:tc>
          <w:tcPr>
            <w:tcW w:w="80" w:type="dxa"/>
            <w:vAlign w:val="bottom"/>
          </w:tcPr>
          <w:p>
            <w:pPr>
              <w:spacing w:after="0"/>
              <w:rPr>
                <w:sz w:val="7"/>
                <w:szCs w:val="7"/>
                <w:color w:val="auto"/>
              </w:rPr>
            </w:pPr>
          </w:p>
        </w:tc>
        <w:tc>
          <w:tcPr>
            <w:tcW w:w="780" w:type="dxa"/>
            <w:vAlign w:val="bottom"/>
            <w:tcBorders>
              <w:top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840" w:type="dxa"/>
            <w:vAlign w:val="bottom"/>
            <w:tcBorders>
              <w:top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84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89"/>
        </w:trPr>
        <w:tc>
          <w:tcPr>
            <w:tcW w:w="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Loan 97</w:t>
            </w:r>
          </w:p>
        </w:tc>
        <w:tc>
          <w:tcPr>
            <w:tcW w:w="9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Senior</w:t>
            </w:r>
          </w:p>
        </w:tc>
        <w:tc>
          <w:tcPr>
            <w:tcW w:w="8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8"/>
              </w:rPr>
              <w:t>8/27/2019</w:t>
            </w:r>
          </w:p>
        </w:tc>
        <w:tc>
          <w:tcPr>
            <w:tcW w:w="100" w:type="dxa"/>
            <w:vAlign w:val="bottom"/>
            <w:shd w:val="clear" w:color="auto" w:fill="CCEEFF"/>
          </w:tcPr>
          <w:p>
            <w:pPr>
              <w:spacing w:after="0"/>
              <w:rPr>
                <w:sz w:val="16"/>
                <w:szCs w:val="16"/>
                <w:color w:val="auto"/>
              </w:rPr>
            </w:pPr>
          </w:p>
        </w:tc>
        <w:tc>
          <w:tcPr>
            <w:tcW w:w="14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San Francisco, CA</w:t>
            </w:r>
          </w:p>
        </w:tc>
        <w:tc>
          <w:tcPr>
            <w:tcW w:w="12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22,716</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22,716</w:t>
            </w:r>
          </w:p>
        </w:tc>
        <w:tc>
          <w:tcPr>
            <w:tcW w:w="8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3"/>
                <w:szCs w:val="13"/>
                <w:color w:val="auto"/>
                <w:w w:val="96"/>
              </w:rPr>
              <w:t>Floating</w:t>
            </w:r>
          </w:p>
        </w:tc>
        <w:tc>
          <w:tcPr>
            <w:tcW w:w="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5"/>
              </w:rPr>
              <w:t>2.9%</w:t>
            </w: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6.9%</w:t>
            </w: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5"/>
              </w:rPr>
              <w:t>9/9/2027</w:t>
            </w: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74%</w:t>
            </w: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1"/>
              </w:rPr>
              <w:t>3</w:t>
            </w:r>
          </w:p>
        </w:tc>
        <w:tc>
          <w:tcPr>
            <w:tcW w:w="0" w:type="dxa"/>
            <w:vAlign w:val="bottom"/>
          </w:tcPr>
          <w:p>
            <w:pPr>
              <w:spacing w:after="0"/>
              <w:rPr>
                <w:sz w:val="1"/>
                <w:szCs w:val="1"/>
                <w:color w:val="auto"/>
              </w:rPr>
            </w:pPr>
          </w:p>
        </w:tc>
      </w:tr>
      <w:tr>
        <w:trPr>
          <w:trHeight w:val="181"/>
        </w:trPr>
        <w:tc>
          <w:tcPr>
            <w:tcW w:w="9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Loan 98</w:t>
            </w:r>
          </w:p>
        </w:tc>
        <w:tc>
          <w:tcPr>
            <w:tcW w:w="90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Senior</w:t>
            </w:r>
          </w:p>
        </w:tc>
        <w:tc>
          <w:tcPr>
            <w:tcW w:w="88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4"/>
              </w:rPr>
              <w:t>10/13/2021</w:t>
            </w:r>
          </w:p>
        </w:tc>
        <w:tc>
          <w:tcPr>
            <w:tcW w:w="100" w:type="dxa"/>
            <w:vAlign w:val="bottom"/>
          </w:tcPr>
          <w:p>
            <w:pPr>
              <w:spacing w:after="0"/>
              <w:rPr>
                <w:sz w:val="15"/>
                <w:szCs w:val="15"/>
                <w:color w:val="auto"/>
              </w:rPr>
            </w:pPr>
          </w:p>
        </w:tc>
        <w:tc>
          <w:tcPr>
            <w:tcW w:w="142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Burbank, CA</w:t>
            </w:r>
          </w:p>
        </w:tc>
        <w:tc>
          <w:tcPr>
            <w:tcW w:w="12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18,216</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18,216</w:t>
            </w:r>
          </w:p>
        </w:tc>
        <w:tc>
          <w:tcPr>
            <w:tcW w:w="80" w:type="dxa"/>
            <w:vAlign w:val="bottom"/>
          </w:tcPr>
          <w:p>
            <w:pPr>
              <w:spacing w:after="0"/>
              <w:rPr>
                <w:sz w:val="15"/>
                <w:szCs w:val="15"/>
                <w:color w:val="auto"/>
              </w:rPr>
            </w:pPr>
          </w:p>
        </w:tc>
        <w:tc>
          <w:tcPr>
            <w:tcW w:w="80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color w:val="auto"/>
                <w:w w:val="96"/>
              </w:rPr>
              <w:t>Floating</w:t>
            </w:r>
          </w:p>
        </w:tc>
        <w:tc>
          <w:tcPr>
            <w:tcW w:w="78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5"/>
              </w:rPr>
              <w:t>4.0%</w:t>
            </w:r>
          </w:p>
        </w:tc>
        <w:tc>
          <w:tcPr>
            <w:tcW w:w="100" w:type="dxa"/>
            <w:vAlign w:val="bottom"/>
          </w:tcPr>
          <w:p>
            <w:pPr>
              <w:spacing w:after="0"/>
              <w:rPr>
                <w:sz w:val="15"/>
                <w:szCs w:val="15"/>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7.9%</w:t>
            </w:r>
          </w:p>
        </w:tc>
        <w:tc>
          <w:tcPr>
            <w:tcW w:w="100" w:type="dxa"/>
            <w:vAlign w:val="bottom"/>
          </w:tcPr>
          <w:p>
            <w:pPr>
              <w:spacing w:after="0"/>
              <w:rPr>
                <w:sz w:val="15"/>
                <w:szCs w:val="15"/>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8"/>
              </w:rPr>
              <w:t>11/9/2026</w:t>
            </w:r>
          </w:p>
        </w:tc>
        <w:tc>
          <w:tcPr>
            <w:tcW w:w="100" w:type="dxa"/>
            <w:vAlign w:val="bottom"/>
          </w:tcPr>
          <w:p>
            <w:pPr>
              <w:spacing w:after="0"/>
              <w:rPr>
                <w:sz w:val="15"/>
                <w:szCs w:val="15"/>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65%</w:t>
            </w:r>
          </w:p>
        </w:tc>
        <w:tc>
          <w:tcPr>
            <w:tcW w:w="100" w:type="dxa"/>
            <w:vAlign w:val="bottom"/>
          </w:tcPr>
          <w:p>
            <w:pPr>
              <w:spacing w:after="0"/>
              <w:rPr>
                <w:sz w:val="15"/>
                <w:szCs w:val="15"/>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1"/>
              </w:rPr>
              <w:t>3</w:t>
            </w:r>
          </w:p>
        </w:tc>
        <w:tc>
          <w:tcPr>
            <w:tcW w:w="0" w:type="dxa"/>
            <w:vAlign w:val="bottom"/>
          </w:tcPr>
          <w:p>
            <w:pPr>
              <w:spacing w:after="0"/>
              <w:rPr>
                <w:sz w:val="1"/>
                <w:szCs w:val="1"/>
                <w:color w:val="auto"/>
              </w:rPr>
            </w:pPr>
          </w:p>
        </w:tc>
      </w:tr>
      <w:tr>
        <w:trPr>
          <w:trHeight w:val="197"/>
        </w:trPr>
        <w:tc>
          <w:tcPr>
            <w:tcW w:w="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Loan 99</w:t>
            </w:r>
            <w:r>
              <w:rPr>
                <w:rFonts w:ascii="Times New Roman" w:cs="Times New Roman" w:eastAsia="Times New Roman" w:hAnsi="Times New Roman"/>
                <w:sz w:val="16"/>
                <w:szCs w:val="16"/>
                <w:color w:val="auto"/>
                <w:vertAlign w:val="superscript"/>
              </w:rPr>
              <w:t>(9)</w:t>
            </w:r>
          </w:p>
        </w:tc>
        <w:tc>
          <w:tcPr>
            <w:tcW w:w="9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Mezzanine</w:t>
            </w:r>
          </w:p>
        </w:tc>
        <w:tc>
          <w:tcPr>
            <w:tcW w:w="8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8"/>
              </w:rPr>
              <w:t>2/13/2023</w:t>
            </w:r>
          </w:p>
        </w:tc>
        <w:tc>
          <w:tcPr>
            <w:tcW w:w="100" w:type="dxa"/>
            <w:vAlign w:val="bottom"/>
            <w:shd w:val="clear" w:color="auto" w:fill="CCEEFF"/>
          </w:tcPr>
          <w:p>
            <w:pPr>
              <w:spacing w:after="0"/>
              <w:rPr>
                <w:sz w:val="17"/>
                <w:szCs w:val="17"/>
                <w:color w:val="auto"/>
              </w:rPr>
            </w:pPr>
          </w:p>
        </w:tc>
        <w:tc>
          <w:tcPr>
            <w:tcW w:w="14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Baltimore, MD</w:t>
            </w: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15,105</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15,105</w:t>
            </w:r>
          </w:p>
        </w:tc>
        <w:tc>
          <w:tcPr>
            <w:tcW w:w="8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center"/>
              <w:ind w:right="80"/>
              <w:spacing w:after="0" w:line="197" w:lineRule="exact"/>
              <w:rPr>
                <w:sz w:val="20"/>
                <w:szCs w:val="20"/>
                <w:color w:val="auto"/>
              </w:rPr>
            </w:pPr>
            <w:r>
              <w:rPr>
                <w:rFonts w:ascii="Times New Roman" w:cs="Times New Roman" w:eastAsia="Times New Roman" w:hAnsi="Times New Roman"/>
                <w:sz w:val="22"/>
                <w:szCs w:val="22"/>
                <w:color w:val="auto"/>
                <w:w w:val="87"/>
                <w:vertAlign w:val="subscript"/>
              </w:rPr>
              <w:t>n/a</w:t>
            </w:r>
            <w:r>
              <w:rPr>
                <w:rFonts w:ascii="Times New Roman" w:cs="Times New Roman" w:eastAsia="Times New Roman" w:hAnsi="Times New Roman"/>
                <w:sz w:val="8"/>
                <w:szCs w:val="8"/>
                <w:color w:val="auto"/>
                <w:w w:val="87"/>
              </w:rPr>
              <w:t>(9)</w:t>
            </w:r>
          </w:p>
        </w:tc>
        <w:tc>
          <w:tcPr>
            <w:tcW w:w="880" w:type="dxa"/>
            <w:vAlign w:val="bottom"/>
            <w:gridSpan w:val="2"/>
            <w:shd w:val="clear" w:color="auto" w:fill="CCEEFF"/>
          </w:tcPr>
          <w:p>
            <w:pPr>
              <w:jc w:val="center"/>
              <w:ind w:right="80"/>
              <w:spacing w:after="0" w:line="197" w:lineRule="exact"/>
              <w:rPr>
                <w:sz w:val="20"/>
                <w:szCs w:val="20"/>
                <w:color w:val="auto"/>
              </w:rPr>
            </w:pPr>
            <w:r>
              <w:rPr>
                <w:rFonts w:ascii="Times New Roman" w:cs="Times New Roman" w:eastAsia="Times New Roman" w:hAnsi="Times New Roman"/>
                <w:sz w:val="22"/>
                <w:szCs w:val="22"/>
                <w:color w:val="auto"/>
                <w:w w:val="87"/>
                <w:vertAlign w:val="subscript"/>
              </w:rPr>
              <w:t>n/a</w:t>
            </w:r>
            <w:r>
              <w:rPr>
                <w:rFonts w:ascii="Times New Roman" w:cs="Times New Roman" w:eastAsia="Times New Roman" w:hAnsi="Times New Roman"/>
                <w:sz w:val="8"/>
                <w:szCs w:val="8"/>
                <w:color w:val="auto"/>
                <w:w w:val="87"/>
              </w:rPr>
              <w:t>(9)</w:t>
            </w:r>
          </w:p>
        </w:tc>
        <w:tc>
          <w:tcPr>
            <w:tcW w:w="900" w:type="dxa"/>
            <w:vAlign w:val="bottom"/>
            <w:gridSpan w:val="2"/>
            <w:shd w:val="clear" w:color="auto" w:fill="CCEEFF"/>
          </w:tcPr>
          <w:p>
            <w:pPr>
              <w:jc w:val="center"/>
              <w:ind w:right="100"/>
              <w:spacing w:after="0" w:line="197" w:lineRule="exact"/>
              <w:rPr>
                <w:sz w:val="20"/>
                <w:szCs w:val="20"/>
                <w:color w:val="auto"/>
              </w:rPr>
            </w:pPr>
            <w:r>
              <w:rPr>
                <w:rFonts w:ascii="Times New Roman" w:cs="Times New Roman" w:eastAsia="Times New Roman" w:hAnsi="Times New Roman"/>
                <w:sz w:val="22"/>
                <w:szCs w:val="22"/>
                <w:color w:val="auto"/>
                <w:w w:val="87"/>
                <w:vertAlign w:val="subscript"/>
              </w:rPr>
              <w:t>n/a</w:t>
            </w:r>
            <w:r>
              <w:rPr>
                <w:rFonts w:ascii="Times New Roman" w:cs="Times New Roman" w:eastAsia="Times New Roman" w:hAnsi="Times New Roman"/>
                <w:sz w:val="8"/>
                <w:szCs w:val="8"/>
                <w:color w:val="auto"/>
                <w:w w:val="87"/>
              </w:rPr>
              <w:t>(9)</w:t>
            </w:r>
          </w:p>
        </w:tc>
        <w:tc>
          <w:tcPr>
            <w:tcW w:w="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5"/>
              </w:rPr>
              <w:t>2/9/2027</w:t>
            </w: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5"/>
              </w:rPr>
              <w:t>84% - 85%</w:t>
            </w: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1"/>
              </w:rPr>
              <w:t>3</w:t>
            </w:r>
          </w:p>
        </w:tc>
        <w:tc>
          <w:tcPr>
            <w:tcW w:w="0" w:type="dxa"/>
            <w:vAlign w:val="bottom"/>
          </w:tcPr>
          <w:p>
            <w:pPr>
              <w:spacing w:after="0"/>
              <w:rPr>
                <w:sz w:val="1"/>
                <w:szCs w:val="1"/>
                <w:color w:val="auto"/>
              </w:rPr>
            </w:pPr>
          </w:p>
        </w:tc>
      </w:tr>
      <w:tr>
        <w:trPr>
          <w:trHeight w:val="181"/>
        </w:trPr>
        <w:tc>
          <w:tcPr>
            <w:tcW w:w="9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Loan 100</w:t>
            </w:r>
          </w:p>
        </w:tc>
        <w:tc>
          <w:tcPr>
            <w:tcW w:w="90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Senior</w:t>
            </w:r>
          </w:p>
        </w:tc>
        <w:tc>
          <w:tcPr>
            <w:tcW w:w="88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4"/>
              </w:rPr>
              <w:t>11/10/2021</w:t>
            </w:r>
          </w:p>
        </w:tc>
        <w:tc>
          <w:tcPr>
            <w:tcW w:w="100" w:type="dxa"/>
            <w:vAlign w:val="bottom"/>
          </w:tcPr>
          <w:p>
            <w:pPr>
              <w:spacing w:after="0"/>
              <w:rPr>
                <w:sz w:val="15"/>
                <w:szCs w:val="15"/>
                <w:color w:val="auto"/>
              </w:rPr>
            </w:pPr>
          </w:p>
        </w:tc>
        <w:tc>
          <w:tcPr>
            <w:tcW w:w="142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Richardson, TX</w:t>
            </w:r>
          </w:p>
        </w:tc>
        <w:tc>
          <w:tcPr>
            <w:tcW w:w="12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13,362</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13,320</w:t>
            </w:r>
          </w:p>
        </w:tc>
        <w:tc>
          <w:tcPr>
            <w:tcW w:w="80" w:type="dxa"/>
            <w:vAlign w:val="bottom"/>
          </w:tcPr>
          <w:p>
            <w:pPr>
              <w:spacing w:after="0"/>
              <w:rPr>
                <w:sz w:val="15"/>
                <w:szCs w:val="15"/>
                <w:color w:val="auto"/>
              </w:rPr>
            </w:pPr>
          </w:p>
        </w:tc>
        <w:tc>
          <w:tcPr>
            <w:tcW w:w="80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color w:val="auto"/>
                <w:w w:val="96"/>
              </w:rPr>
              <w:t>Floating</w:t>
            </w:r>
          </w:p>
        </w:tc>
        <w:tc>
          <w:tcPr>
            <w:tcW w:w="78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5"/>
              </w:rPr>
              <w:t>4.1%</w:t>
            </w:r>
          </w:p>
        </w:tc>
        <w:tc>
          <w:tcPr>
            <w:tcW w:w="100" w:type="dxa"/>
            <w:vAlign w:val="bottom"/>
          </w:tcPr>
          <w:p>
            <w:pPr>
              <w:spacing w:after="0"/>
              <w:rPr>
                <w:sz w:val="15"/>
                <w:szCs w:val="15"/>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8.0%</w:t>
            </w:r>
          </w:p>
        </w:tc>
        <w:tc>
          <w:tcPr>
            <w:tcW w:w="100" w:type="dxa"/>
            <w:vAlign w:val="bottom"/>
          </w:tcPr>
          <w:p>
            <w:pPr>
              <w:spacing w:after="0"/>
              <w:rPr>
                <w:sz w:val="15"/>
                <w:szCs w:val="15"/>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8"/>
              </w:rPr>
              <w:t>12/9/2026</w:t>
            </w:r>
          </w:p>
        </w:tc>
        <w:tc>
          <w:tcPr>
            <w:tcW w:w="100" w:type="dxa"/>
            <w:vAlign w:val="bottom"/>
          </w:tcPr>
          <w:p>
            <w:pPr>
              <w:spacing w:after="0"/>
              <w:rPr>
                <w:sz w:val="15"/>
                <w:szCs w:val="15"/>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71%</w:t>
            </w:r>
          </w:p>
        </w:tc>
        <w:tc>
          <w:tcPr>
            <w:tcW w:w="100" w:type="dxa"/>
            <w:vAlign w:val="bottom"/>
          </w:tcPr>
          <w:p>
            <w:pPr>
              <w:spacing w:after="0"/>
              <w:rPr>
                <w:sz w:val="15"/>
                <w:szCs w:val="15"/>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1"/>
              </w:rPr>
              <w:t>3</w:t>
            </w:r>
          </w:p>
        </w:tc>
        <w:tc>
          <w:tcPr>
            <w:tcW w:w="0" w:type="dxa"/>
            <w:vAlign w:val="bottom"/>
          </w:tcPr>
          <w:p>
            <w:pPr>
              <w:spacing w:after="0"/>
              <w:rPr>
                <w:sz w:val="1"/>
                <w:szCs w:val="1"/>
                <w:color w:val="auto"/>
              </w:rPr>
            </w:pPr>
          </w:p>
        </w:tc>
      </w:tr>
      <w:tr>
        <w:trPr>
          <w:trHeight w:val="197"/>
        </w:trPr>
        <w:tc>
          <w:tcPr>
            <w:tcW w:w="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Loan 101</w:t>
            </w:r>
            <w:r>
              <w:rPr>
                <w:rFonts w:ascii="Times New Roman" w:cs="Times New Roman" w:eastAsia="Times New Roman" w:hAnsi="Times New Roman"/>
                <w:sz w:val="16"/>
                <w:szCs w:val="16"/>
                <w:color w:val="auto"/>
                <w:vertAlign w:val="superscript"/>
              </w:rPr>
              <w:t>(10)</w:t>
            </w:r>
          </w:p>
        </w:tc>
        <w:tc>
          <w:tcPr>
            <w:tcW w:w="9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Preferred</w:t>
            </w:r>
          </w:p>
        </w:tc>
        <w:tc>
          <w:tcPr>
            <w:tcW w:w="8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4"/>
              </w:rPr>
              <w:t>12/12/2025</w:t>
            </w:r>
          </w:p>
        </w:tc>
        <w:tc>
          <w:tcPr>
            <w:tcW w:w="100" w:type="dxa"/>
            <w:vAlign w:val="bottom"/>
            <w:shd w:val="clear" w:color="auto" w:fill="CCEEFF"/>
          </w:tcPr>
          <w:p>
            <w:pPr>
              <w:spacing w:after="0"/>
              <w:rPr>
                <w:sz w:val="17"/>
                <w:szCs w:val="17"/>
                <w:color w:val="auto"/>
              </w:rPr>
            </w:pPr>
          </w:p>
        </w:tc>
        <w:tc>
          <w:tcPr>
            <w:tcW w:w="14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Dallas, TX</w:t>
            </w: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2,719</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2,719</w:t>
            </w:r>
          </w:p>
        </w:tc>
        <w:tc>
          <w:tcPr>
            <w:tcW w:w="8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3"/>
                <w:szCs w:val="13"/>
                <w:color w:val="auto"/>
                <w:w w:val="94"/>
              </w:rPr>
              <w:t>Fixed</w:t>
            </w:r>
          </w:p>
        </w:tc>
        <w:tc>
          <w:tcPr>
            <w:tcW w:w="880" w:type="dxa"/>
            <w:vAlign w:val="bottom"/>
            <w:gridSpan w:val="2"/>
            <w:shd w:val="clear" w:color="auto" w:fill="CCEEFF"/>
          </w:tcPr>
          <w:p>
            <w:pPr>
              <w:jc w:val="center"/>
              <w:ind w:right="80"/>
              <w:spacing w:after="0" w:line="197" w:lineRule="exact"/>
              <w:rPr>
                <w:sz w:val="20"/>
                <w:szCs w:val="20"/>
                <w:color w:val="auto"/>
              </w:rPr>
            </w:pPr>
            <w:r>
              <w:rPr>
                <w:rFonts w:ascii="Times New Roman" w:cs="Times New Roman" w:eastAsia="Times New Roman" w:hAnsi="Times New Roman"/>
                <w:sz w:val="22"/>
                <w:szCs w:val="22"/>
                <w:color w:val="auto"/>
                <w:w w:val="89"/>
                <w:vertAlign w:val="subscript"/>
              </w:rPr>
              <w:t>n/a</w:t>
            </w:r>
            <w:r>
              <w:rPr>
                <w:rFonts w:ascii="Times New Roman" w:cs="Times New Roman" w:eastAsia="Times New Roman" w:hAnsi="Times New Roman"/>
                <w:sz w:val="8"/>
                <w:szCs w:val="8"/>
                <w:color w:val="auto"/>
                <w:w w:val="89"/>
              </w:rPr>
              <w:t>(10)</w:t>
            </w:r>
          </w:p>
        </w:tc>
        <w:tc>
          <w:tcPr>
            <w:tcW w:w="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5"/>
              </w:rPr>
              <w:t>15.0%</w:t>
            </w: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8"/>
              </w:rPr>
              <w:t>12/9/2026</w:t>
            </w:r>
          </w:p>
        </w:tc>
        <w:tc>
          <w:tcPr>
            <w:tcW w:w="10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3"/>
                <w:szCs w:val="13"/>
                <w:color w:val="auto"/>
              </w:rPr>
              <w:t>n/a</w:t>
            </w:r>
          </w:p>
        </w:tc>
        <w:tc>
          <w:tcPr>
            <w:tcW w:w="8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1"/>
              </w:rPr>
              <w:t>4</w:t>
            </w:r>
          </w:p>
        </w:tc>
        <w:tc>
          <w:tcPr>
            <w:tcW w:w="0" w:type="dxa"/>
            <w:vAlign w:val="bottom"/>
          </w:tcPr>
          <w:p>
            <w:pPr>
              <w:spacing w:after="0"/>
              <w:rPr>
                <w:sz w:val="1"/>
                <w:szCs w:val="1"/>
                <w:color w:val="auto"/>
              </w:rPr>
            </w:pPr>
          </w:p>
        </w:tc>
      </w:tr>
      <w:tr>
        <w:trPr>
          <w:trHeight w:val="189"/>
        </w:trPr>
        <w:tc>
          <w:tcPr>
            <w:tcW w:w="9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3"/>
                <w:szCs w:val="13"/>
                <w:color w:val="auto"/>
              </w:rPr>
              <w:t>Loan 102</w:t>
            </w:r>
            <w:r>
              <w:rPr>
                <w:rFonts w:ascii="Times New Roman" w:cs="Times New Roman" w:eastAsia="Times New Roman" w:hAnsi="Times New Roman"/>
                <w:sz w:val="16"/>
                <w:szCs w:val="16"/>
                <w:color w:val="auto"/>
                <w:vertAlign w:val="superscript"/>
              </w:rPr>
              <w:t>(11)</w:t>
            </w:r>
          </w:p>
        </w:tc>
        <w:tc>
          <w:tcPr>
            <w:tcW w:w="90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3"/>
                <w:szCs w:val="13"/>
                <w:color w:val="auto"/>
              </w:rPr>
              <w:t>Preferred</w:t>
            </w:r>
          </w:p>
        </w:tc>
        <w:tc>
          <w:tcPr>
            <w:tcW w:w="880" w:type="dxa"/>
            <w:vAlign w:val="bottom"/>
            <w:tcBorders>
              <w:bottom w:val="single" w:sz="8" w:color="CCEEFF"/>
            </w:tcBorders>
          </w:tcPr>
          <w:p>
            <w:pPr>
              <w:jc w:val="center"/>
              <w:spacing w:after="0"/>
              <w:rPr>
                <w:sz w:val="20"/>
                <w:szCs w:val="20"/>
                <w:color w:val="auto"/>
              </w:rPr>
            </w:pPr>
            <w:r>
              <w:rPr>
                <w:rFonts w:ascii="Times New Roman" w:cs="Times New Roman" w:eastAsia="Times New Roman" w:hAnsi="Times New Roman"/>
                <w:sz w:val="13"/>
                <w:szCs w:val="13"/>
                <w:color w:val="auto"/>
                <w:w w:val="95"/>
              </w:rPr>
              <w:t>9/9/2025</w:t>
            </w:r>
          </w:p>
        </w:tc>
        <w:tc>
          <w:tcPr>
            <w:tcW w:w="100" w:type="dxa"/>
            <w:vAlign w:val="bottom"/>
            <w:tcBorders>
              <w:bottom w:val="single" w:sz="8" w:color="CCEEFF"/>
            </w:tcBorders>
          </w:tcPr>
          <w:p>
            <w:pPr>
              <w:spacing w:after="0"/>
              <w:rPr>
                <w:sz w:val="16"/>
                <w:szCs w:val="16"/>
                <w:color w:val="auto"/>
              </w:rPr>
            </w:pPr>
          </w:p>
        </w:tc>
        <w:tc>
          <w:tcPr>
            <w:tcW w:w="142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3"/>
                <w:szCs w:val="13"/>
                <w:color w:val="auto"/>
              </w:rPr>
              <w:t>San Francisco, CA</w:t>
            </w:r>
          </w:p>
        </w:tc>
        <w:tc>
          <w:tcPr>
            <w:tcW w:w="12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845</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845</w:t>
            </w:r>
          </w:p>
        </w:tc>
        <w:tc>
          <w:tcPr>
            <w:tcW w:w="80" w:type="dxa"/>
            <w:vAlign w:val="bottom"/>
            <w:tcBorders>
              <w:bottom w:val="single" w:sz="8" w:color="CCEEFF"/>
            </w:tcBorders>
          </w:tcPr>
          <w:p>
            <w:pPr>
              <w:spacing w:after="0"/>
              <w:rPr>
                <w:sz w:val="16"/>
                <w:szCs w:val="16"/>
                <w:color w:val="auto"/>
              </w:rPr>
            </w:pPr>
          </w:p>
        </w:tc>
        <w:tc>
          <w:tcPr>
            <w:tcW w:w="800" w:type="dxa"/>
            <w:vAlign w:val="bottom"/>
            <w:tcBorders>
              <w:bottom w:val="single" w:sz="8" w:color="CCEEFF"/>
            </w:tcBorders>
            <w:gridSpan w:val="2"/>
          </w:tcPr>
          <w:p>
            <w:pPr>
              <w:jc w:val="center"/>
              <w:ind w:right="80"/>
              <w:spacing w:after="0"/>
              <w:rPr>
                <w:sz w:val="20"/>
                <w:szCs w:val="20"/>
                <w:color w:val="auto"/>
              </w:rPr>
            </w:pPr>
            <w:r>
              <w:rPr>
                <w:rFonts w:ascii="Times New Roman" w:cs="Times New Roman" w:eastAsia="Times New Roman" w:hAnsi="Times New Roman"/>
                <w:sz w:val="13"/>
                <w:szCs w:val="13"/>
                <w:color w:val="auto"/>
                <w:w w:val="94"/>
              </w:rPr>
              <w:t>Fixed</w:t>
            </w:r>
          </w:p>
        </w:tc>
        <w:tc>
          <w:tcPr>
            <w:tcW w:w="880" w:type="dxa"/>
            <w:vAlign w:val="bottom"/>
            <w:tcBorders>
              <w:bottom w:val="single" w:sz="8" w:color="CCEEFF"/>
            </w:tcBorders>
            <w:gridSpan w:val="2"/>
          </w:tcPr>
          <w:p>
            <w:pPr>
              <w:jc w:val="center"/>
              <w:ind w:right="80"/>
              <w:spacing w:after="0" w:line="189" w:lineRule="exact"/>
              <w:rPr>
                <w:sz w:val="20"/>
                <w:szCs w:val="20"/>
                <w:color w:val="auto"/>
              </w:rPr>
            </w:pPr>
            <w:r>
              <w:rPr>
                <w:rFonts w:ascii="Times New Roman" w:cs="Times New Roman" w:eastAsia="Times New Roman" w:hAnsi="Times New Roman"/>
                <w:sz w:val="21"/>
                <w:szCs w:val="21"/>
                <w:color w:val="auto"/>
                <w:w w:val="91"/>
                <w:vertAlign w:val="subscript"/>
              </w:rPr>
              <w:t>n/a</w:t>
            </w:r>
            <w:r>
              <w:rPr>
                <w:rFonts w:ascii="Times New Roman" w:cs="Times New Roman" w:eastAsia="Times New Roman" w:hAnsi="Times New Roman"/>
                <w:sz w:val="8"/>
                <w:szCs w:val="8"/>
                <w:color w:val="auto"/>
                <w:w w:val="91"/>
              </w:rPr>
              <w:t>(11)</w:t>
            </w:r>
          </w:p>
        </w:tc>
        <w:tc>
          <w:tcPr>
            <w:tcW w:w="800" w:type="dxa"/>
            <w:vAlign w:val="bottom"/>
            <w:tcBorders>
              <w:bottom w:val="single" w:sz="8" w:color="CCEEFF"/>
            </w:tcBorders>
          </w:tcPr>
          <w:p>
            <w:pPr>
              <w:jc w:val="center"/>
              <w:spacing w:after="0"/>
              <w:rPr>
                <w:sz w:val="20"/>
                <w:szCs w:val="20"/>
                <w:color w:val="auto"/>
              </w:rPr>
            </w:pPr>
            <w:r>
              <w:rPr>
                <w:rFonts w:ascii="Times New Roman" w:cs="Times New Roman" w:eastAsia="Times New Roman" w:hAnsi="Times New Roman"/>
                <w:sz w:val="13"/>
                <w:szCs w:val="13"/>
                <w:color w:val="auto"/>
                <w:w w:val="95"/>
              </w:rPr>
              <w:t>20.0%</w:t>
            </w:r>
          </w:p>
        </w:tc>
        <w:tc>
          <w:tcPr>
            <w:tcW w:w="100" w:type="dxa"/>
            <w:vAlign w:val="bottom"/>
            <w:tcBorders>
              <w:bottom w:val="single" w:sz="8" w:color="CCEEFF"/>
            </w:tcBorders>
          </w:tcPr>
          <w:p>
            <w:pPr>
              <w:spacing w:after="0"/>
              <w:rPr>
                <w:sz w:val="16"/>
                <w:szCs w:val="16"/>
                <w:color w:val="auto"/>
              </w:rPr>
            </w:pPr>
          </w:p>
        </w:tc>
        <w:tc>
          <w:tcPr>
            <w:tcW w:w="800" w:type="dxa"/>
            <w:vAlign w:val="bottom"/>
            <w:tcBorders>
              <w:bottom w:val="single" w:sz="8" w:color="CCEEFF"/>
            </w:tcBorders>
          </w:tcPr>
          <w:p>
            <w:pPr>
              <w:jc w:val="center"/>
              <w:spacing w:after="0"/>
              <w:rPr>
                <w:sz w:val="20"/>
                <w:szCs w:val="20"/>
                <w:color w:val="auto"/>
              </w:rPr>
            </w:pPr>
            <w:r>
              <w:rPr>
                <w:rFonts w:ascii="Times New Roman" w:cs="Times New Roman" w:eastAsia="Times New Roman" w:hAnsi="Times New Roman"/>
                <w:sz w:val="13"/>
                <w:szCs w:val="13"/>
                <w:color w:val="auto"/>
                <w:w w:val="95"/>
              </w:rPr>
              <w:t>9/9/2027</w:t>
            </w:r>
          </w:p>
        </w:tc>
        <w:tc>
          <w:tcPr>
            <w:tcW w:w="100" w:type="dxa"/>
            <w:vAlign w:val="bottom"/>
            <w:tcBorders>
              <w:bottom w:val="single" w:sz="8" w:color="CCEEFF"/>
            </w:tcBorders>
          </w:tcPr>
          <w:p>
            <w:pPr>
              <w:spacing w:after="0"/>
              <w:rPr>
                <w:sz w:val="16"/>
                <w:szCs w:val="16"/>
                <w:color w:val="auto"/>
              </w:rPr>
            </w:pPr>
          </w:p>
        </w:tc>
        <w:tc>
          <w:tcPr>
            <w:tcW w:w="940" w:type="dxa"/>
            <w:vAlign w:val="bottom"/>
            <w:tcBorders>
              <w:bottom w:val="single" w:sz="8" w:color="CCEEFF"/>
            </w:tcBorders>
            <w:gridSpan w:val="2"/>
          </w:tcPr>
          <w:p>
            <w:pPr>
              <w:jc w:val="center"/>
              <w:ind w:right="100"/>
              <w:spacing w:after="0"/>
              <w:rPr>
                <w:sz w:val="20"/>
                <w:szCs w:val="20"/>
                <w:color w:val="auto"/>
              </w:rPr>
            </w:pPr>
            <w:r>
              <w:rPr>
                <w:rFonts w:ascii="Times New Roman" w:cs="Times New Roman" w:eastAsia="Times New Roman" w:hAnsi="Times New Roman"/>
                <w:sz w:val="13"/>
                <w:szCs w:val="13"/>
                <w:color w:val="auto"/>
              </w:rPr>
              <w:t>n/a</w:t>
            </w:r>
          </w:p>
        </w:tc>
        <w:tc>
          <w:tcPr>
            <w:tcW w:w="840" w:type="dxa"/>
            <w:vAlign w:val="bottom"/>
            <w:tcBorders>
              <w:bottom w:val="single" w:sz="8" w:color="CCEEFF"/>
            </w:tcBorders>
          </w:tcPr>
          <w:p>
            <w:pPr>
              <w:jc w:val="center"/>
              <w:spacing w:after="0"/>
              <w:rPr>
                <w:sz w:val="20"/>
                <w:szCs w:val="20"/>
                <w:color w:val="auto"/>
              </w:rPr>
            </w:pPr>
            <w:r>
              <w:rPr>
                <w:rFonts w:ascii="Times New Roman" w:cs="Times New Roman" w:eastAsia="Times New Roman" w:hAnsi="Times New Roman"/>
                <w:sz w:val="13"/>
                <w:szCs w:val="13"/>
                <w:color w:val="auto"/>
                <w:w w:val="91"/>
              </w:rPr>
              <w:t>3</w:t>
            </w:r>
          </w:p>
        </w:tc>
        <w:tc>
          <w:tcPr>
            <w:tcW w:w="0" w:type="dxa"/>
            <w:vAlign w:val="bottom"/>
          </w:tcPr>
          <w:p>
            <w:pPr>
              <w:spacing w:after="0"/>
              <w:rPr>
                <w:sz w:val="1"/>
                <w:szCs w:val="1"/>
                <w:color w:val="auto"/>
              </w:rPr>
            </w:pPr>
          </w:p>
        </w:tc>
      </w:tr>
      <w:tr>
        <w:trPr>
          <w:trHeight w:val="115"/>
        </w:trPr>
        <w:tc>
          <w:tcPr>
            <w:tcW w:w="2780" w:type="dxa"/>
            <w:vAlign w:val="bottom"/>
            <w:gridSpan w:val="5"/>
            <w:vMerge w:val="restart"/>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Total/Weighted average office loans</w:t>
            </w:r>
          </w:p>
        </w:tc>
        <w:tc>
          <w:tcPr>
            <w:tcW w:w="13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0" w:type="dxa"/>
            <w:vAlign w:val="bottom"/>
            <w:gridSpan w:val="2"/>
            <w:shd w:val="clear" w:color="auto" w:fill="CCEEFF"/>
          </w:tcPr>
          <w:p>
            <w:pPr>
              <w:ind w:left="20"/>
              <w:spacing w:after="0" w:line="115" w:lineRule="exact"/>
              <w:rPr>
                <w:sz w:val="20"/>
                <w:szCs w:val="20"/>
                <w:color w:val="auto"/>
              </w:rPr>
            </w:pPr>
            <w:r>
              <w:rPr>
                <w:rFonts w:ascii="Times New Roman" w:cs="Times New Roman" w:eastAsia="Times New Roman" w:hAnsi="Times New Roman"/>
                <w:sz w:val="13"/>
                <w:szCs w:val="13"/>
                <w:color w:val="auto"/>
              </w:rPr>
              <w:t>19% of total</w:t>
            </w:r>
          </w:p>
        </w:tc>
        <w:tc>
          <w:tcPr>
            <w:tcW w:w="7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83"/>
        </w:trPr>
        <w:tc>
          <w:tcPr>
            <w:tcW w:w="2780" w:type="dxa"/>
            <w:vAlign w:val="bottom"/>
            <w:gridSpan w:val="5"/>
            <w:vMerge w:val="continue"/>
            <w:shd w:val="clear" w:color="auto" w:fill="CCEEFF"/>
          </w:tcPr>
          <w:p>
            <w:pPr>
              <w:spacing w:after="0"/>
              <w:rPr>
                <w:sz w:val="15"/>
                <w:szCs w:val="15"/>
                <w:color w:val="auto"/>
              </w:rPr>
            </w:pPr>
          </w:p>
        </w:tc>
        <w:tc>
          <w:tcPr>
            <w:tcW w:w="13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571,898</w:t>
            </w:r>
          </w:p>
        </w:tc>
        <w:tc>
          <w:tcPr>
            <w:tcW w:w="100" w:type="dxa"/>
            <w:vAlign w:val="bottom"/>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570,833</w:t>
            </w:r>
          </w:p>
        </w:tc>
        <w:tc>
          <w:tcPr>
            <w:tcW w:w="80" w:type="dxa"/>
            <w:vAlign w:val="bottom"/>
            <w:shd w:val="clear" w:color="auto" w:fill="CCEEFF"/>
          </w:tcPr>
          <w:p>
            <w:pPr>
              <w:spacing w:after="0"/>
              <w:rPr>
                <w:sz w:val="15"/>
                <w:szCs w:val="15"/>
                <w:color w:val="auto"/>
              </w:rPr>
            </w:pPr>
          </w:p>
        </w:tc>
        <w:tc>
          <w:tcPr>
            <w:tcW w:w="8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loans</w:t>
            </w:r>
          </w:p>
        </w:tc>
        <w:tc>
          <w:tcPr>
            <w:tcW w:w="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5"/>
              </w:rPr>
              <w:t>3.9%</w:t>
            </w:r>
          </w:p>
        </w:tc>
        <w:tc>
          <w:tcPr>
            <w:tcW w:w="100" w:type="dxa"/>
            <w:vAlign w:val="bottom"/>
            <w:shd w:val="clear" w:color="auto" w:fill="CCEEFF"/>
          </w:tcPr>
          <w:p>
            <w:pPr>
              <w:spacing w:after="0"/>
              <w:rPr>
                <w:sz w:val="15"/>
                <w:szCs w:val="15"/>
                <w:color w:val="auto"/>
              </w:rPr>
            </w:pPr>
          </w:p>
        </w:tc>
        <w:tc>
          <w:tcPr>
            <w:tcW w:w="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7.8%</w:t>
            </w:r>
          </w:p>
        </w:tc>
        <w:tc>
          <w:tcPr>
            <w:tcW w:w="10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3"/>
                <w:szCs w:val="13"/>
                <w:color w:val="auto"/>
                <w:w w:val="93"/>
              </w:rPr>
              <w:t>0.6 years</w:t>
            </w:r>
          </w:p>
        </w:tc>
        <w:tc>
          <w:tcPr>
            <w:tcW w:w="8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8"/>
              </w:rPr>
              <w:t>3.2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257175</wp:posOffset>
            </wp:positionV>
            <wp:extent cx="7132320" cy="14541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Other (Mixed-use)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21590</wp:posOffset>
            </wp:positionV>
            <wp:extent cx="713232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37"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7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Loan 103</w:t>
            </w:r>
          </w:p>
        </w:tc>
        <w:tc>
          <w:tcPr>
            <w:tcW w:w="880" w:type="dxa"/>
            <w:vAlign w:val="bottom"/>
          </w:tcPr>
          <w:p>
            <w:pPr>
              <w:ind w:left="200"/>
              <w:spacing w:after="0"/>
              <w:rPr>
                <w:sz w:val="20"/>
                <w:szCs w:val="20"/>
                <w:color w:val="auto"/>
              </w:rPr>
            </w:pPr>
            <w:r>
              <w:rPr>
                <w:rFonts w:ascii="Times New Roman" w:cs="Times New Roman" w:eastAsia="Times New Roman" w:hAnsi="Times New Roman"/>
                <w:sz w:val="13"/>
                <w:szCs w:val="13"/>
                <w:color w:val="auto"/>
              </w:rPr>
              <w:t>Senior</w:t>
            </w:r>
          </w:p>
        </w:tc>
        <w:tc>
          <w:tcPr>
            <w:tcW w:w="1060" w:type="dxa"/>
            <w:vAlign w:val="bottom"/>
          </w:tcPr>
          <w:p>
            <w:pPr>
              <w:jc w:val="center"/>
              <w:ind w:left="157"/>
              <w:spacing w:after="0"/>
              <w:rPr>
                <w:sz w:val="20"/>
                <w:szCs w:val="20"/>
                <w:color w:val="auto"/>
              </w:rPr>
            </w:pPr>
            <w:r>
              <w:rPr>
                <w:rFonts w:ascii="Times New Roman" w:cs="Times New Roman" w:eastAsia="Times New Roman" w:hAnsi="Times New Roman"/>
                <w:sz w:val="13"/>
                <w:szCs w:val="13"/>
                <w:color w:val="auto"/>
                <w:w w:val="94"/>
              </w:rPr>
              <w:t>10/24/2019</w:t>
            </w:r>
          </w:p>
        </w:tc>
        <w:tc>
          <w:tcPr>
            <w:tcW w:w="154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Brooklyn, NY</w:t>
            </w:r>
          </w:p>
        </w:tc>
        <w:tc>
          <w:tcPr>
            <w:tcW w:w="220" w:type="dxa"/>
            <w:vAlign w:val="bottom"/>
          </w:tcPr>
          <w:p>
            <w:pPr>
              <w:jc w:val="right"/>
              <w:ind w:right="77"/>
              <w:spacing w:after="0"/>
              <w:rPr>
                <w:sz w:val="20"/>
                <w:szCs w:val="20"/>
                <w:color w:val="auto"/>
              </w:rPr>
            </w:pPr>
            <w:r>
              <w:rPr>
                <w:rFonts w:ascii="Times New Roman" w:cs="Times New Roman" w:eastAsia="Times New Roman" w:hAnsi="Times New Roman"/>
                <w:sz w:val="13"/>
                <w:szCs w:val="13"/>
                <w:color w:val="auto"/>
                <w:w w:val="91"/>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79,308</w:t>
            </w:r>
          </w:p>
        </w:tc>
        <w:tc>
          <w:tcPr>
            <w:tcW w:w="100" w:type="dxa"/>
            <w:vAlign w:val="bottom"/>
          </w:tcPr>
          <w:p>
            <w:pPr>
              <w:spacing w:after="0"/>
              <w:rPr>
                <w:sz w:val="14"/>
                <w:szCs w:val="14"/>
                <w:color w:val="auto"/>
              </w:rPr>
            </w:pPr>
          </w:p>
        </w:tc>
        <w:tc>
          <w:tcPr>
            <w:tcW w:w="20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w w:val="91"/>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79,308</w:t>
            </w:r>
          </w:p>
        </w:tc>
        <w:tc>
          <w:tcPr>
            <w:tcW w:w="88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6"/>
              </w:rPr>
              <w:t>Floating</w:t>
            </w:r>
          </w:p>
        </w:tc>
        <w:tc>
          <w:tcPr>
            <w:tcW w:w="84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5"/>
              </w:rPr>
              <w:t>4.2%</w:t>
            </w:r>
          </w:p>
        </w:tc>
        <w:tc>
          <w:tcPr>
            <w:tcW w:w="84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8.1%</w:t>
            </w:r>
          </w:p>
        </w:tc>
        <w:tc>
          <w:tcPr>
            <w:tcW w:w="104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8"/>
              </w:rPr>
              <w:t>11/9/2027</w:t>
            </w:r>
          </w:p>
        </w:tc>
        <w:tc>
          <w:tcPr>
            <w:tcW w:w="880" w:type="dxa"/>
            <w:vAlign w:val="bottom"/>
          </w:tcPr>
          <w:p>
            <w:pPr>
              <w:jc w:val="right"/>
              <w:ind w:right="317"/>
              <w:spacing w:after="0"/>
              <w:rPr>
                <w:sz w:val="20"/>
                <w:szCs w:val="20"/>
                <w:color w:val="auto"/>
              </w:rPr>
            </w:pPr>
            <w:r>
              <w:rPr>
                <w:rFonts w:ascii="Times New Roman" w:cs="Times New Roman" w:eastAsia="Times New Roman" w:hAnsi="Times New Roman"/>
                <w:sz w:val="13"/>
                <w:szCs w:val="13"/>
                <w:color w:val="auto"/>
              </w:rPr>
              <w:t>66%</w:t>
            </w:r>
          </w:p>
        </w:tc>
        <w:tc>
          <w:tcPr>
            <w:tcW w:w="86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1"/>
              </w:rPr>
              <w:t>3</w:t>
            </w:r>
          </w:p>
        </w:tc>
      </w:tr>
      <w:tr>
        <w:trPr>
          <w:trHeight w:val="197"/>
        </w:trPr>
        <w:tc>
          <w:tcPr>
            <w:tcW w:w="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Loan 104</w:t>
            </w:r>
          </w:p>
        </w:tc>
        <w:tc>
          <w:tcPr>
            <w:tcW w:w="8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3"/>
                <w:szCs w:val="13"/>
                <w:color w:val="auto"/>
              </w:rPr>
              <w:t>Senior</w:t>
            </w:r>
          </w:p>
        </w:tc>
        <w:tc>
          <w:tcPr>
            <w:tcW w:w="1060" w:type="dxa"/>
            <w:vAlign w:val="bottom"/>
            <w:shd w:val="clear" w:color="auto" w:fill="CCEEFF"/>
          </w:tcPr>
          <w:p>
            <w:pPr>
              <w:jc w:val="center"/>
              <w:ind w:left="157"/>
              <w:spacing w:after="0"/>
              <w:rPr>
                <w:sz w:val="20"/>
                <w:szCs w:val="20"/>
                <w:color w:val="auto"/>
              </w:rPr>
            </w:pPr>
            <w:r>
              <w:rPr>
                <w:rFonts w:ascii="Times New Roman" w:cs="Times New Roman" w:eastAsia="Times New Roman" w:hAnsi="Times New Roman"/>
                <w:sz w:val="13"/>
                <w:szCs w:val="13"/>
                <w:color w:val="auto"/>
                <w:w w:val="95"/>
              </w:rPr>
              <w:t>5/3/2022</w:t>
            </w:r>
          </w:p>
        </w:tc>
        <w:tc>
          <w:tcPr>
            <w:tcW w:w="15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Brooklyn, NY</w:t>
            </w:r>
          </w:p>
        </w:tc>
        <w:tc>
          <w:tcPr>
            <w:tcW w:w="22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28,923</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28,923</w:t>
            </w:r>
          </w:p>
        </w:tc>
        <w:tc>
          <w:tcPr>
            <w:tcW w:w="8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6"/>
              </w:rPr>
              <w:t>Floating</w:t>
            </w:r>
          </w:p>
        </w:tc>
        <w:tc>
          <w:tcPr>
            <w:tcW w:w="8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5"/>
              </w:rPr>
              <w:t>4.4%</w:t>
            </w:r>
          </w:p>
        </w:tc>
        <w:tc>
          <w:tcPr>
            <w:tcW w:w="8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8.3%</w:t>
            </w:r>
          </w:p>
        </w:tc>
        <w:tc>
          <w:tcPr>
            <w:tcW w:w="10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8"/>
              </w:rPr>
              <w:t>11/9/2028</w:t>
            </w:r>
          </w:p>
        </w:tc>
        <w:tc>
          <w:tcPr>
            <w:tcW w:w="880" w:type="dxa"/>
            <w:vAlign w:val="bottom"/>
            <w:shd w:val="clear" w:color="auto" w:fill="CCEEFF"/>
          </w:tcPr>
          <w:p>
            <w:pPr>
              <w:jc w:val="right"/>
              <w:ind w:right="317"/>
              <w:spacing w:after="0"/>
              <w:rPr>
                <w:sz w:val="20"/>
                <w:szCs w:val="20"/>
                <w:color w:val="auto"/>
              </w:rPr>
            </w:pPr>
            <w:r>
              <w:rPr>
                <w:rFonts w:ascii="Times New Roman" w:cs="Times New Roman" w:eastAsia="Times New Roman" w:hAnsi="Times New Roman"/>
                <w:sz w:val="13"/>
                <w:szCs w:val="13"/>
                <w:color w:val="auto"/>
              </w:rPr>
              <w:t>68%</w:t>
            </w:r>
          </w:p>
        </w:tc>
        <w:tc>
          <w:tcPr>
            <w:tcW w:w="8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1"/>
              </w:rPr>
              <w:t>3</w:t>
            </w:r>
          </w:p>
        </w:tc>
      </w:tr>
      <w:tr>
        <w:trPr>
          <w:trHeight w:val="181"/>
        </w:trPr>
        <w:tc>
          <w:tcPr>
            <w:tcW w:w="7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Loan 105</w:t>
            </w:r>
          </w:p>
        </w:tc>
        <w:tc>
          <w:tcPr>
            <w:tcW w:w="880" w:type="dxa"/>
            <w:vAlign w:val="bottom"/>
          </w:tcPr>
          <w:p>
            <w:pPr>
              <w:ind w:left="200"/>
              <w:spacing w:after="0"/>
              <w:rPr>
                <w:sz w:val="20"/>
                <w:szCs w:val="20"/>
                <w:color w:val="auto"/>
              </w:rPr>
            </w:pPr>
            <w:r>
              <w:rPr>
                <w:rFonts w:ascii="Times New Roman" w:cs="Times New Roman" w:eastAsia="Times New Roman" w:hAnsi="Times New Roman"/>
                <w:sz w:val="13"/>
                <w:szCs w:val="13"/>
                <w:color w:val="auto"/>
              </w:rPr>
              <w:t>Senior</w:t>
            </w:r>
          </w:p>
        </w:tc>
        <w:tc>
          <w:tcPr>
            <w:tcW w:w="1060" w:type="dxa"/>
            <w:vAlign w:val="bottom"/>
          </w:tcPr>
          <w:p>
            <w:pPr>
              <w:jc w:val="center"/>
              <w:ind w:left="157"/>
              <w:spacing w:after="0"/>
              <w:rPr>
                <w:sz w:val="20"/>
                <w:szCs w:val="20"/>
                <w:color w:val="auto"/>
              </w:rPr>
            </w:pPr>
            <w:r>
              <w:rPr>
                <w:rFonts w:ascii="Times New Roman" w:cs="Times New Roman" w:eastAsia="Times New Roman" w:hAnsi="Times New Roman"/>
                <w:sz w:val="13"/>
                <w:szCs w:val="13"/>
                <w:color w:val="auto"/>
                <w:w w:val="95"/>
              </w:rPr>
              <w:t>4/3/2024</w:t>
            </w:r>
          </w:p>
        </w:tc>
        <w:tc>
          <w:tcPr>
            <w:tcW w:w="154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South Pasadena, CA</w:t>
            </w:r>
          </w:p>
        </w:tc>
        <w:tc>
          <w:tcPr>
            <w:tcW w:w="22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28,781</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28,781</w:t>
            </w:r>
          </w:p>
        </w:tc>
        <w:tc>
          <w:tcPr>
            <w:tcW w:w="88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4"/>
              </w:rPr>
              <w:t>Fixed</w:t>
            </w:r>
          </w:p>
        </w:tc>
        <w:tc>
          <w:tcPr>
            <w:tcW w:w="84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5"/>
              </w:rPr>
              <w:t>20.0%</w:t>
            </w:r>
          </w:p>
        </w:tc>
        <w:tc>
          <w:tcPr>
            <w:tcW w:w="84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5"/>
              </w:rPr>
              <w:t>20.0%</w:t>
            </w:r>
          </w:p>
        </w:tc>
        <w:tc>
          <w:tcPr>
            <w:tcW w:w="104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8"/>
              </w:rPr>
              <w:t>10/9/2026</w:t>
            </w:r>
          </w:p>
        </w:tc>
        <w:tc>
          <w:tcPr>
            <w:tcW w:w="880" w:type="dxa"/>
            <w:vAlign w:val="bottom"/>
          </w:tcPr>
          <w:p>
            <w:pPr>
              <w:jc w:val="right"/>
              <w:ind w:right="317"/>
              <w:spacing w:after="0"/>
              <w:rPr>
                <w:sz w:val="20"/>
                <w:szCs w:val="20"/>
                <w:color w:val="auto"/>
              </w:rPr>
            </w:pPr>
            <w:r>
              <w:rPr>
                <w:rFonts w:ascii="Times New Roman" w:cs="Times New Roman" w:eastAsia="Times New Roman" w:hAnsi="Times New Roman"/>
                <w:sz w:val="13"/>
                <w:szCs w:val="13"/>
                <w:color w:val="auto"/>
              </w:rPr>
              <w:t>84%</w:t>
            </w:r>
          </w:p>
        </w:tc>
        <w:tc>
          <w:tcPr>
            <w:tcW w:w="86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1"/>
              </w:rPr>
              <w:t>3</w:t>
            </w:r>
          </w:p>
        </w:tc>
      </w:tr>
      <w:tr>
        <w:trPr>
          <w:trHeight w:val="197"/>
        </w:trPr>
        <w:tc>
          <w:tcPr>
            <w:tcW w:w="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Loan 106</w:t>
            </w:r>
          </w:p>
        </w:tc>
        <w:tc>
          <w:tcPr>
            <w:tcW w:w="8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3"/>
                <w:szCs w:val="13"/>
                <w:color w:val="auto"/>
              </w:rPr>
              <w:t>Senior</w:t>
            </w:r>
          </w:p>
        </w:tc>
        <w:tc>
          <w:tcPr>
            <w:tcW w:w="1060" w:type="dxa"/>
            <w:vAlign w:val="bottom"/>
            <w:shd w:val="clear" w:color="auto" w:fill="CCEEFF"/>
          </w:tcPr>
          <w:p>
            <w:pPr>
              <w:jc w:val="center"/>
              <w:ind w:left="157"/>
              <w:spacing w:after="0"/>
              <w:rPr>
                <w:sz w:val="20"/>
                <w:szCs w:val="20"/>
                <w:color w:val="auto"/>
              </w:rPr>
            </w:pPr>
            <w:r>
              <w:rPr>
                <w:rFonts w:ascii="Times New Roman" w:cs="Times New Roman" w:eastAsia="Times New Roman" w:hAnsi="Times New Roman"/>
                <w:sz w:val="13"/>
                <w:szCs w:val="13"/>
                <w:color w:val="auto"/>
                <w:w w:val="98"/>
              </w:rPr>
              <w:t>10/8/2025</w:t>
            </w:r>
          </w:p>
        </w:tc>
        <w:tc>
          <w:tcPr>
            <w:tcW w:w="15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Venice, CA</w:t>
            </w:r>
          </w:p>
        </w:tc>
        <w:tc>
          <w:tcPr>
            <w:tcW w:w="22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25,275</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25,422</w:t>
            </w:r>
          </w:p>
        </w:tc>
        <w:tc>
          <w:tcPr>
            <w:tcW w:w="8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6"/>
              </w:rPr>
              <w:t>Floating</w:t>
            </w:r>
          </w:p>
        </w:tc>
        <w:tc>
          <w:tcPr>
            <w:tcW w:w="8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5"/>
              </w:rPr>
              <w:t>4.8%</w:t>
            </w:r>
          </w:p>
        </w:tc>
        <w:tc>
          <w:tcPr>
            <w:tcW w:w="8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9.2%</w:t>
            </w:r>
          </w:p>
        </w:tc>
        <w:tc>
          <w:tcPr>
            <w:tcW w:w="10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8"/>
              </w:rPr>
              <w:t>10/9/2030</w:t>
            </w:r>
          </w:p>
        </w:tc>
        <w:tc>
          <w:tcPr>
            <w:tcW w:w="880" w:type="dxa"/>
            <w:vAlign w:val="bottom"/>
            <w:shd w:val="clear" w:color="auto" w:fill="CCEEFF"/>
          </w:tcPr>
          <w:p>
            <w:pPr>
              <w:jc w:val="right"/>
              <w:ind w:right="317"/>
              <w:spacing w:after="0"/>
              <w:rPr>
                <w:sz w:val="20"/>
                <w:szCs w:val="20"/>
                <w:color w:val="auto"/>
              </w:rPr>
            </w:pPr>
            <w:r>
              <w:rPr>
                <w:rFonts w:ascii="Times New Roman" w:cs="Times New Roman" w:eastAsia="Times New Roman" w:hAnsi="Times New Roman"/>
                <w:sz w:val="13"/>
                <w:szCs w:val="13"/>
                <w:color w:val="auto"/>
              </w:rPr>
              <w:t>67%</w:t>
            </w:r>
          </w:p>
        </w:tc>
        <w:tc>
          <w:tcPr>
            <w:tcW w:w="8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1"/>
              </w:rPr>
              <w:t>3</w:t>
            </w:r>
          </w:p>
        </w:tc>
      </w:tr>
      <w:tr>
        <w:trPr>
          <w:trHeight w:val="183"/>
        </w:trPr>
        <w:tc>
          <w:tcPr>
            <w:tcW w:w="7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3"/>
                <w:szCs w:val="13"/>
                <w:color w:val="auto"/>
              </w:rPr>
              <w:t>Loan 107</w:t>
            </w:r>
          </w:p>
        </w:tc>
        <w:tc>
          <w:tcPr>
            <w:tcW w:w="88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3"/>
                <w:szCs w:val="13"/>
                <w:color w:val="auto"/>
              </w:rPr>
              <w:t>Senior</w:t>
            </w:r>
          </w:p>
        </w:tc>
        <w:tc>
          <w:tcPr>
            <w:tcW w:w="1060" w:type="dxa"/>
            <w:vAlign w:val="bottom"/>
            <w:tcBorders>
              <w:bottom w:val="single" w:sz="8" w:color="CCEEFF"/>
            </w:tcBorders>
          </w:tcPr>
          <w:p>
            <w:pPr>
              <w:jc w:val="center"/>
              <w:ind w:left="157"/>
              <w:spacing w:after="0"/>
              <w:rPr>
                <w:sz w:val="20"/>
                <w:szCs w:val="20"/>
                <w:color w:val="auto"/>
              </w:rPr>
            </w:pPr>
            <w:r>
              <w:rPr>
                <w:rFonts w:ascii="Times New Roman" w:cs="Times New Roman" w:eastAsia="Times New Roman" w:hAnsi="Times New Roman"/>
                <w:sz w:val="13"/>
                <w:szCs w:val="13"/>
                <w:color w:val="auto"/>
                <w:w w:val="98"/>
              </w:rPr>
              <w:t>8/31/2021</w:t>
            </w:r>
          </w:p>
        </w:tc>
        <w:tc>
          <w:tcPr>
            <w:tcW w:w="15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3"/>
                <w:szCs w:val="13"/>
                <w:color w:val="auto"/>
              </w:rPr>
              <w:t>Los Angeles, CA</w:t>
            </w:r>
          </w:p>
        </w:tc>
        <w:tc>
          <w:tcPr>
            <w:tcW w:w="22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22,070</w:t>
            </w:r>
          </w:p>
        </w:tc>
        <w:tc>
          <w:tcPr>
            <w:tcW w:w="10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22,070</w:t>
            </w:r>
          </w:p>
        </w:tc>
        <w:tc>
          <w:tcPr>
            <w:tcW w:w="880" w:type="dxa"/>
            <w:vAlign w:val="bottom"/>
            <w:tcBorders>
              <w:bottom w:val="single" w:sz="8" w:color="CCEEFF"/>
            </w:tcBorders>
          </w:tcPr>
          <w:p>
            <w:pPr>
              <w:jc w:val="center"/>
              <w:spacing w:after="0"/>
              <w:rPr>
                <w:sz w:val="20"/>
                <w:szCs w:val="20"/>
                <w:color w:val="auto"/>
              </w:rPr>
            </w:pPr>
            <w:r>
              <w:rPr>
                <w:rFonts w:ascii="Times New Roman" w:cs="Times New Roman" w:eastAsia="Times New Roman" w:hAnsi="Times New Roman"/>
                <w:sz w:val="13"/>
                <w:szCs w:val="13"/>
                <w:color w:val="auto"/>
                <w:w w:val="96"/>
              </w:rPr>
              <w:t>Floating</w:t>
            </w:r>
          </w:p>
        </w:tc>
        <w:tc>
          <w:tcPr>
            <w:tcW w:w="840" w:type="dxa"/>
            <w:vAlign w:val="bottom"/>
            <w:tcBorders>
              <w:bottom w:val="single" w:sz="8" w:color="CCEEFF"/>
            </w:tcBorders>
          </w:tcPr>
          <w:p>
            <w:pPr>
              <w:jc w:val="center"/>
              <w:spacing w:after="0"/>
              <w:rPr>
                <w:sz w:val="20"/>
                <w:szCs w:val="20"/>
                <w:color w:val="auto"/>
              </w:rPr>
            </w:pPr>
            <w:r>
              <w:rPr>
                <w:rFonts w:ascii="Times New Roman" w:cs="Times New Roman" w:eastAsia="Times New Roman" w:hAnsi="Times New Roman"/>
                <w:sz w:val="13"/>
                <w:szCs w:val="13"/>
                <w:color w:val="auto"/>
                <w:w w:val="95"/>
              </w:rPr>
              <w:t>4.6%</w:t>
            </w:r>
          </w:p>
        </w:tc>
        <w:tc>
          <w:tcPr>
            <w:tcW w:w="840" w:type="dxa"/>
            <w:vAlign w:val="bottom"/>
            <w:tcBorders>
              <w:bottom w:val="single" w:sz="8" w:color="CCEEFF"/>
            </w:tcBorders>
          </w:tcPr>
          <w:p>
            <w:pPr>
              <w:jc w:val="center"/>
              <w:spacing w:after="0"/>
              <w:rPr>
                <w:sz w:val="20"/>
                <w:szCs w:val="20"/>
                <w:color w:val="auto"/>
              </w:rPr>
            </w:pPr>
            <w:r>
              <w:rPr>
                <w:rFonts w:ascii="Times New Roman" w:cs="Times New Roman" w:eastAsia="Times New Roman" w:hAnsi="Times New Roman"/>
                <w:sz w:val="13"/>
                <w:szCs w:val="13"/>
                <w:color w:val="auto"/>
              </w:rPr>
              <w:t>8.5%</w:t>
            </w:r>
          </w:p>
        </w:tc>
        <w:tc>
          <w:tcPr>
            <w:tcW w:w="1040" w:type="dxa"/>
            <w:vAlign w:val="bottom"/>
            <w:tcBorders>
              <w:bottom w:val="single" w:sz="8" w:color="CCEEFF"/>
            </w:tcBorders>
          </w:tcPr>
          <w:p>
            <w:pPr>
              <w:jc w:val="center"/>
              <w:spacing w:after="0"/>
              <w:rPr>
                <w:sz w:val="20"/>
                <w:szCs w:val="20"/>
                <w:color w:val="auto"/>
              </w:rPr>
            </w:pPr>
            <w:r>
              <w:rPr>
                <w:rFonts w:ascii="Times New Roman" w:cs="Times New Roman" w:eastAsia="Times New Roman" w:hAnsi="Times New Roman"/>
                <w:sz w:val="13"/>
                <w:szCs w:val="13"/>
                <w:color w:val="auto"/>
                <w:w w:val="95"/>
              </w:rPr>
              <w:t>9/9/2027</w:t>
            </w:r>
          </w:p>
        </w:tc>
        <w:tc>
          <w:tcPr>
            <w:tcW w:w="880" w:type="dxa"/>
            <w:vAlign w:val="bottom"/>
            <w:tcBorders>
              <w:bottom w:val="single" w:sz="8" w:color="CCEEFF"/>
            </w:tcBorders>
          </w:tcPr>
          <w:p>
            <w:pPr>
              <w:jc w:val="right"/>
              <w:ind w:right="317"/>
              <w:spacing w:after="0"/>
              <w:rPr>
                <w:sz w:val="20"/>
                <w:szCs w:val="20"/>
                <w:color w:val="auto"/>
              </w:rPr>
            </w:pPr>
            <w:r>
              <w:rPr>
                <w:rFonts w:ascii="Times New Roman" w:cs="Times New Roman" w:eastAsia="Times New Roman" w:hAnsi="Times New Roman"/>
                <w:sz w:val="13"/>
                <w:szCs w:val="13"/>
                <w:color w:val="auto"/>
              </w:rPr>
              <w:t>66%</w:t>
            </w:r>
          </w:p>
        </w:tc>
        <w:tc>
          <w:tcPr>
            <w:tcW w:w="860" w:type="dxa"/>
            <w:vAlign w:val="bottom"/>
            <w:tcBorders>
              <w:bottom w:val="single" w:sz="8" w:color="CCEEFF"/>
            </w:tcBorders>
          </w:tcPr>
          <w:p>
            <w:pPr>
              <w:jc w:val="center"/>
              <w:spacing w:after="0"/>
              <w:rPr>
                <w:sz w:val="20"/>
                <w:szCs w:val="20"/>
                <w:color w:val="auto"/>
              </w:rPr>
            </w:pPr>
            <w:r>
              <w:rPr>
                <w:rFonts w:ascii="Times New Roman" w:cs="Times New Roman" w:eastAsia="Times New Roman" w:hAnsi="Times New Roman"/>
                <w:sz w:val="13"/>
                <w:szCs w:val="13"/>
                <w:color w:val="auto"/>
                <w:w w:val="91"/>
              </w:rPr>
              <w:t>3</w:t>
            </w:r>
          </w:p>
        </w:tc>
      </w:tr>
      <w:tr>
        <w:trPr>
          <w:trHeight w:val="196"/>
        </w:trPr>
        <w:tc>
          <w:tcPr>
            <w:tcW w:w="420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Total/Weighted average other (mixed-use) loans</w:t>
            </w:r>
          </w:p>
        </w:tc>
        <w:tc>
          <w:tcPr>
            <w:tcW w:w="220" w:type="dxa"/>
            <w:vAlign w:val="bottom"/>
            <w:tcBorders>
              <w:bottom w:val="single" w:sz="8" w:color="auto"/>
            </w:tcBorders>
            <w:shd w:val="clear" w:color="auto" w:fill="CCEEFF"/>
          </w:tcPr>
          <w:p>
            <w:pPr>
              <w:jc w:val="right"/>
              <w:ind w:right="77"/>
              <w:spacing w:after="0"/>
              <w:rPr>
                <w:sz w:val="20"/>
                <w:szCs w:val="20"/>
                <w:color w:val="auto"/>
              </w:rPr>
            </w:pPr>
            <w:r>
              <w:rPr>
                <w:rFonts w:ascii="Times New Roman" w:cs="Times New Roman" w:eastAsia="Times New Roman" w:hAnsi="Times New Roman"/>
                <w:sz w:val="13"/>
                <w:szCs w:val="13"/>
                <w:color w:val="auto"/>
                <w:w w:val="91"/>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184,357</w:t>
            </w:r>
          </w:p>
        </w:tc>
        <w:tc>
          <w:tcPr>
            <w:tcW w:w="10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color w:val="auto"/>
                <w:w w:val="91"/>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184,504</w:t>
            </w:r>
          </w:p>
        </w:tc>
        <w:tc>
          <w:tcPr>
            <w:tcW w:w="880" w:type="dxa"/>
            <w:vAlign w:val="bottom"/>
            <w:shd w:val="clear" w:color="auto" w:fill="CCEEFF"/>
          </w:tcPr>
          <w:p>
            <w:pPr>
              <w:spacing w:after="0"/>
              <w:rPr>
                <w:sz w:val="17"/>
                <w:szCs w:val="17"/>
                <w:color w:val="auto"/>
              </w:rPr>
            </w:pPr>
          </w:p>
        </w:tc>
        <w:tc>
          <w:tcPr>
            <w:tcW w:w="8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5"/>
              </w:rPr>
              <w:t>6.8%</w:t>
            </w:r>
          </w:p>
        </w:tc>
        <w:tc>
          <w:tcPr>
            <w:tcW w:w="8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5"/>
              </w:rPr>
              <w:t>10.2%</w:t>
            </w:r>
          </w:p>
        </w:tc>
        <w:tc>
          <w:tcPr>
            <w:tcW w:w="104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3"/>
                <w:szCs w:val="13"/>
                <w:color w:val="auto"/>
              </w:rPr>
              <w:t>1.5 years</w:t>
            </w:r>
          </w:p>
        </w:tc>
        <w:tc>
          <w:tcPr>
            <w:tcW w:w="880" w:type="dxa"/>
            <w:vAlign w:val="bottom"/>
            <w:shd w:val="clear" w:color="auto" w:fill="CCEEFF"/>
          </w:tcPr>
          <w:p>
            <w:pPr>
              <w:spacing w:after="0"/>
              <w:rPr>
                <w:sz w:val="17"/>
                <w:szCs w:val="17"/>
                <w:color w:val="auto"/>
              </w:rPr>
            </w:pPr>
          </w:p>
        </w:tc>
        <w:tc>
          <w:tcPr>
            <w:tcW w:w="8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8"/>
              </w:rPr>
              <w:t>3.0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265430</wp:posOffset>
            </wp:positionV>
            <wp:extent cx="7132320" cy="14541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Industrial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21590</wp:posOffset>
            </wp:positionV>
            <wp:extent cx="713232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37"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7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Loan 108</w:t>
            </w:r>
          </w:p>
        </w:tc>
        <w:tc>
          <w:tcPr>
            <w:tcW w:w="900" w:type="dxa"/>
            <w:vAlign w:val="bottom"/>
          </w:tcPr>
          <w:p>
            <w:pPr>
              <w:ind w:left="200"/>
              <w:spacing w:after="0"/>
              <w:rPr>
                <w:sz w:val="20"/>
                <w:szCs w:val="20"/>
                <w:color w:val="auto"/>
              </w:rPr>
            </w:pPr>
            <w:r>
              <w:rPr>
                <w:rFonts w:ascii="Times New Roman" w:cs="Times New Roman" w:eastAsia="Times New Roman" w:hAnsi="Times New Roman"/>
                <w:sz w:val="13"/>
                <w:szCs w:val="13"/>
                <w:color w:val="auto"/>
              </w:rPr>
              <w:t>Senior</w:t>
            </w:r>
          </w:p>
        </w:tc>
        <w:tc>
          <w:tcPr>
            <w:tcW w:w="1020" w:type="dxa"/>
            <w:vAlign w:val="bottom"/>
          </w:tcPr>
          <w:p>
            <w:pPr>
              <w:jc w:val="center"/>
              <w:ind w:left="157"/>
              <w:spacing w:after="0"/>
              <w:rPr>
                <w:sz w:val="20"/>
                <w:szCs w:val="20"/>
                <w:color w:val="auto"/>
              </w:rPr>
            </w:pPr>
            <w:r>
              <w:rPr>
                <w:rFonts w:ascii="Times New Roman" w:cs="Times New Roman" w:eastAsia="Times New Roman" w:hAnsi="Times New Roman"/>
                <w:sz w:val="13"/>
                <w:szCs w:val="13"/>
                <w:color w:val="auto"/>
                <w:w w:val="98"/>
              </w:rPr>
              <w:t>3/25/2026</w:t>
            </w:r>
          </w:p>
        </w:tc>
        <w:tc>
          <w:tcPr>
            <w:tcW w:w="1560" w:type="dxa"/>
            <w:vAlign w:val="bottom"/>
          </w:tcPr>
          <w:p>
            <w:pPr>
              <w:ind w:left="160"/>
              <w:spacing w:after="0"/>
              <w:rPr>
                <w:sz w:val="20"/>
                <w:szCs w:val="20"/>
                <w:color w:val="auto"/>
              </w:rPr>
            </w:pPr>
            <w:r>
              <w:rPr>
                <w:rFonts w:ascii="Times New Roman" w:cs="Times New Roman" w:eastAsia="Times New Roman" w:hAnsi="Times New Roman"/>
                <w:sz w:val="13"/>
                <w:szCs w:val="13"/>
                <w:color w:val="auto"/>
              </w:rPr>
              <w:t>Oklahoma City, OK</w:t>
            </w:r>
          </w:p>
        </w:tc>
        <w:tc>
          <w:tcPr>
            <w:tcW w:w="240" w:type="dxa"/>
            <w:vAlign w:val="bottom"/>
          </w:tcPr>
          <w:p>
            <w:pPr>
              <w:jc w:val="right"/>
              <w:ind w:right="97"/>
              <w:spacing w:after="0"/>
              <w:rPr>
                <w:sz w:val="20"/>
                <w:szCs w:val="20"/>
                <w:color w:val="auto"/>
              </w:rPr>
            </w:pPr>
            <w:r>
              <w:rPr>
                <w:rFonts w:ascii="Times New Roman" w:cs="Times New Roman" w:eastAsia="Times New Roman" w:hAnsi="Times New Roman"/>
                <w:sz w:val="13"/>
                <w:szCs w:val="13"/>
                <w:color w:val="auto"/>
                <w:w w:val="91"/>
              </w:rPr>
              <w:t>$</w:t>
            </w:r>
          </w:p>
        </w:tc>
        <w:tc>
          <w:tcPr>
            <w:tcW w:w="60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rPr>
              <w:t>33,560</w:t>
            </w:r>
          </w:p>
        </w:tc>
        <w:tc>
          <w:tcPr>
            <w:tcW w:w="300" w:type="dxa"/>
            <w:vAlign w:val="bottom"/>
          </w:tcPr>
          <w:p>
            <w:pPr>
              <w:jc w:val="right"/>
              <w:ind w:right="97"/>
              <w:spacing w:after="0"/>
              <w:rPr>
                <w:sz w:val="20"/>
                <w:szCs w:val="20"/>
                <w:color w:val="auto"/>
              </w:rPr>
            </w:pPr>
            <w:r>
              <w:rPr>
                <w:rFonts w:ascii="Times New Roman" w:cs="Times New Roman" w:eastAsia="Times New Roman" w:hAnsi="Times New Roman"/>
                <w:sz w:val="13"/>
                <w:szCs w:val="13"/>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33,841</w:t>
            </w:r>
          </w:p>
        </w:tc>
        <w:tc>
          <w:tcPr>
            <w:tcW w:w="900" w:type="dxa"/>
            <w:vAlign w:val="bottom"/>
          </w:tcPr>
          <w:p>
            <w:pPr>
              <w:ind w:left="220"/>
              <w:spacing w:after="0"/>
              <w:rPr>
                <w:sz w:val="20"/>
                <w:szCs w:val="20"/>
                <w:color w:val="auto"/>
              </w:rPr>
            </w:pPr>
            <w:r>
              <w:rPr>
                <w:rFonts w:ascii="Times New Roman" w:cs="Times New Roman" w:eastAsia="Times New Roman" w:hAnsi="Times New Roman"/>
                <w:sz w:val="13"/>
                <w:szCs w:val="13"/>
                <w:color w:val="auto"/>
              </w:rPr>
              <w:t>Floating</w:t>
            </w:r>
          </w:p>
        </w:tc>
        <w:tc>
          <w:tcPr>
            <w:tcW w:w="820" w:type="dxa"/>
            <w:vAlign w:val="bottom"/>
          </w:tcPr>
          <w:p>
            <w:pPr>
              <w:jc w:val="right"/>
              <w:ind w:right="257"/>
              <w:spacing w:after="0"/>
              <w:rPr>
                <w:sz w:val="20"/>
                <w:szCs w:val="20"/>
                <w:color w:val="auto"/>
              </w:rPr>
            </w:pPr>
            <w:r>
              <w:rPr>
                <w:rFonts w:ascii="Times New Roman" w:cs="Times New Roman" w:eastAsia="Times New Roman" w:hAnsi="Times New Roman"/>
                <w:sz w:val="13"/>
                <w:szCs w:val="13"/>
                <w:color w:val="auto"/>
              </w:rPr>
              <w:t>2.8%</w:t>
            </w:r>
          </w:p>
        </w:tc>
        <w:tc>
          <w:tcPr>
            <w:tcW w:w="840" w:type="dxa"/>
            <w:vAlign w:val="bottom"/>
          </w:tcPr>
          <w:p>
            <w:pPr>
              <w:jc w:val="right"/>
              <w:ind w:right="197"/>
              <w:spacing w:after="0"/>
              <w:rPr>
                <w:sz w:val="20"/>
                <w:szCs w:val="20"/>
                <w:color w:val="auto"/>
              </w:rPr>
            </w:pPr>
            <w:r>
              <w:rPr>
                <w:rFonts w:ascii="Times New Roman" w:cs="Times New Roman" w:eastAsia="Times New Roman" w:hAnsi="Times New Roman"/>
                <w:sz w:val="13"/>
                <w:szCs w:val="13"/>
                <w:color w:val="auto"/>
              </w:rPr>
              <w:t>7.2%</w:t>
            </w:r>
          </w:p>
        </w:tc>
        <w:tc>
          <w:tcPr>
            <w:tcW w:w="1020" w:type="dxa"/>
            <w:vAlign w:val="bottom"/>
          </w:tcPr>
          <w:p>
            <w:pPr>
              <w:ind w:left="280"/>
              <w:spacing w:after="0"/>
              <w:rPr>
                <w:sz w:val="20"/>
                <w:szCs w:val="20"/>
                <w:color w:val="auto"/>
              </w:rPr>
            </w:pPr>
            <w:r>
              <w:rPr>
                <w:rFonts w:ascii="Times New Roman" w:cs="Times New Roman" w:eastAsia="Times New Roman" w:hAnsi="Times New Roman"/>
                <w:sz w:val="13"/>
                <w:szCs w:val="13"/>
                <w:color w:val="auto"/>
              </w:rPr>
              <w:t>4/9/2031</w:t>
            </w:r>
          </w:p>
        </w:tc>
        <w:tc>
          <w:tcPr>
            <w:tcW w:w="900" w:type="dxa"/>
            <w:vAlign w:val="bottom"/>
          </w:tcPr>
          <w:p>
            <w:pPr>
              <w:jc w:val="right"/>
              <w:ind w:right="317"/>
              <w:spacing w:after="0"/>
              <w:rPr>
                <w:sz w:val="20"/>
                <w:szCs w:val="20"/>
                <w:color w:val="auto"/>
              </w:rPr>
            </w:pPr>
            <w:r>
              <w:rPr>
                <w:rFonts w:ascii="Times New Roman" w:cs="Times New Roman" w:eastAsia="Times New Roman" w:hAnsi="Times New Roman"/>
                <w:sz w:val="13"/>
                <w:szCs w:val="13"/>
                <w:color w:val="auto"/>
              </w:rPr>
              <w:t>56%</w:t>
            </w:r>
          </w:p>
        </w:tc>
        <w:tc>
          <w:tcPr>
            <w:tcW w:w="86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1"/>
              </w:rPr>
              <w:t>3</w:t>
            </w:r>
          </w:p>
        </w:tc>
      </w:tr>
      <w:tr>
        <w:trPr>
          <w:trHeight w:val="197"/>
        </w:trPr>
        <w:tc>
          <w:tcPr>
            <w:tcW w:w="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Loan 109</w:t>
            </w:r>
          </w:p>
        </w:tc>
        <w:tc>
          <w:tcPr>
            <w:tcW w:w="9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3"/>
                <w:szCs w:val="13"/>
                <w:color w:val="auto"/>
              </w:rPr>
              <w:t>Senior</w:t>
            </w:r>
          </w:p>
        </w:tc>
        <w:tc>
          <w:tcPr>
            <w:tcW w:w="1020" w:type="dxa"/>
            <w:vAlign w:val="bottom"/>
            <w:shd w:val="clear" w:color="auto" w:fill="CCEEFF"/>
          </w:tcPr>
          <w:p>
            <w:pPr>
              <w:jc w:val="center"/>
              <w:ind w:left="157"/>
              <w:spacing w:after="0"/>
              <w:rPr>
                <w:sz w:val="20"/>
                <w:szCs w:val="20"/>
                <w:color w:val="auto"/>
              </w:rPr>
            </w:pPr>
            <w:r>
              <w:rPr>
                <w:rFonts w:ascii="Times New Roman" w:cs="Times New Roman" w:eastAsia="Times New Roman" w:hAnsi="Times New Roman"/>
                <w:sz w:val="13"/>
                <w:szCs w:val="13"/>
                <w:color w:val="auto"/>
                <w:w w:val="95"/>
              </w:rPr>
              <w:t>7/2/2026</w:t>
            </w:r>
          </w:p>
        </w:tc>
        <w:tc>
          <w:tcPr>
            <w:tcW w:w="15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3"/>
                <w:szCs w:val="13"/>
                <w:color w:val="auto"/>
              </w:rPr>
              <w:t>Hawthorne, CA</w:t>
            </w:r>
          </w:p>
        </w:tc>
        <w:tc>
          <w:tcPr>
            <w:tcW w:w="240" w:type="dxa"/>
            <w:vAlign w:val="bottom"/>
            <w:shd w:val="clear" w:color="auto" w:fill="CCEEFF"/>
          </w:tcPr>
          <w:p>
            <w:pPr>
              <w:spacing w:after="0"/>
              <w:rPr>
                <w:sz w:val="17"/>
                <w:szCs w:val="17"/>
                <w:color w:val="auto"/>
              </w:rPr>
            </w:pPr>
          </w:p>
        </w:tc>
        <w:tc>
          <w:tcPr>
            <w:tcW w:w="60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rPr>
              <w:t>29,628</w:t>
            </w:r>
          </w:p>
        </w:tc>
        <w:tc>
          <w:tcPr>
            <w:tcW w:w="30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29,945</w:t>
            </w:r>
          </w:p>
        </w:tc>
        <w:tc>
          <w:tcPr>
            <w:tcW w:w="9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3"/>
                <w:szCs w:val="13"/>
                <w:color w:val="auto"/>
              </w:rPr>
              <w:t>Floating</w:t>
            </w:r>
          </w:p>
        </w:tc>
        <w:tc>
          <w:tcPr>
            <w:tcW w:w="820" w:type="dxa"/>
            <w:vAlign w:val="bottom"/>
            <w:shd w:val="clear" w:color="auto" w:fill="CCEEFF"/>
          </w:tcPr>
          <w:p>
            <w:pPr>
              <w:jc w:val="right"/>
              <w:ind w:right="257"/>
              <w:spacing w:after="0"/>
              <w:rPr>
                <w:sz w:val="20"/>
                <w:szCs w:val="20"/>
                <w:color w:val="auto"/>
              </w:rPr>
            </w:pPr>
            <w:r>
              <w:rPr>
                <w:rFonts w:ascii="Times New Roman" w:cs="Times New Roman" w:eastAsia="Times New Roman" w:hAnsi="Times New Roman"/>
                <w:sz w:val="13"/>
                <w:szCs w:val="13"/>
                <w:color w:val="auto"/>
              </w:rPr>
              <w:t>2.5%</w:t>
            </w:r>
          </w:p>
        </w:tc>
        <w:tc>
          <w:tcPr>
            <w:tcW w:w="840" w:type="dxa"/>
            <w:vAlign w:val="bottom"/>
            <w:shd w:val="clear" w:color="auto" w:fill="CCEEFF"/>
          </w:tcPr>
          <w:p>
            <w:pPr>
              <w:jc w:val="right"/>
              <w:ind w:right="197"/>
              <w:spacing w:after="0"/>
              <w:rPr>
                <w:sz w:val="20"/>
                <w:szCs w:val="20"/>
                <w:color w:val="auto"/>
              </w:rPr>
            </w:pPr>
            <w:r>
              <w:rPr>
                <w:rFonts w:ascii="Times New Roman" w:cs="Times New Roman" w:eastAsia="Times New Roman" w:hAnsi="Times New Roman"/>
                <w:sz w:val="13"/>
                <w:szCs w:val="13"/>
                <w:color w:val="auto"/>
              </w:rPr>
              <w:t>6.9%</w:t>
            </w:r>
          </w:p>
        </w:tc>
        <w:tc>
          <w:tcPr>
            <w:tcW w:w="102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3"/>
                <w:szCs w:val="13"/>
                <w:color w:val="auto"/>
              </w:rPr>
              <w:t>7/9/2031</w:t>
            </w:r>
          </w:p>
        </w:tc>
        <w:tc>
          <w:tcPr>
            <w:tcW w:w="900" w:type="dxa"/>
            <w:vAlign w:val="bottom"/>
            <w:shd w:val="clear" w:color="auto" w:fill="CCEEFF"/>
          </w:tcPr>
          <w:p>
            <w:pPr>
              <w:jc w:val="right"/>
              <w:ind w:right="317"/>
              <w:spacing w:after="0"/>
              <w:rPr>
                <w:sz w:val="20"/>
                <w:szCs w:val="20"/>
                <w:color w:val="auto"/>
              </w:rPr>
            </w:pPr>
            <w:r>
              <w:rPr>
                <w:rFonts w:ascii="Times New Roman" w:cs="Times New Roman" w:eastAsia="Times New Roman" w:hAnsi="Times New Roman"/>
                <w:sz w:val="13"/>
                <w:szCs w:val="13"/>
                <w:color w:val="auto"/>
              </w:rPr>
              <w:t>50%</w:t>
            </w:r>
          </w:p>
        </w:tc>
        <w:tc>
          <w:tcPr>
            <w:tcW w:w="8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1"/>
              </w:rPr>
              <w:t>3</w:t>
            </w:r>
          </w:p>
        </w:tc>
      </w:tr>
      <w:tr>
        <w:trPr>
          <w:trHeight w:val="183"/>
        </w:trPr>
        <w:tc>
          <w:tcPr>
            <w:tcW w:w="7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3"/>
                <w:szCs w:val="13"/>
                <w:color w:val="auto"/>
              </w:rPr>
              <w:t>Loan 110</w:t>
            </w:r>
          </w:p>
        </w:tc>
        <w:tc>
          <w:tcPr>
            <w:tcW w:w="90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3"/>
                <w:szCs w:val="13"/>
                <w:color w:val="auto"/>
              </w:rPr>
              <w:t>Senior</w:t>
            </w:r>
          </w:p>
        </w:tc>
        <w:tc>
          <w:tcPr>
            <w:tcW w:w="1020" w:type="dxa"/>
            <w:vAlign w:val="bottom"/>
            <w:tcBorders>
              <w:bottom w:val="single" w:sz="8" w:color="CCEEFF"/>
            </w:tcBorders>
          </w:tcPr>
          <w:p>
            <w:pPr>
              <w:jc w:val="center"/>
              <w:ind w:left="157"/>
              <w:spacing w:after="0"/>
              <w:rPr>
                <w:sz w:val="20"/>
                <w:szCs w:val="20"/>
                <w:color w:val="auto"/>
              </w:rPr>
            </w:pPr>
            <w:r>
              <w:rPr>
                <w:rFonts w:ascii="Times New Roman" w:cs="Times New Roman" w:eastAsia="Times New Roman" w:hAnsi="Times New Roman"/>
                <w:sz w:val="13"/>
                <w:szCs w:val="13"/>
                <w:color w:val="auto"/>
                <w:w w:val="95"/>
              </w:rPr>
              <w:t>5/4/2026</w:t>
            </w:r>
          </w:p>
        </w:tc>
        <w:tc>
          <w:tcPr>
            <w:tcW w:w="1560" w:type="dxa"/>
            <w:vAlign w:val="bottom"/>
            <w:tcBorders>
              <w:bottom w:val="single" w:sz="8" w:color="CCEEFF"/>
            </w:tcBorders>
          </w:tcPr>
          <w:p>
            <w:pPr>
              <w:ind w:left="160"/>
              <w:spacing w:after="0"/>
              <w:rPr>
                <w:sz w:val="20"/>
                <w:szCs w:val="20"/>
                <w:color w:val="auto"/>
              </w:rPr>
            </w:pPr>
            <w:r>
              <w:rPr>
                <w:rFonts w:ascii="Times New Roman" w:cs="Times New Roman" w:eastAsia="Times New Roman" w:hAnsi="Times New Roman"/>
                <w:sz w:val="13"/>
                <w:szCs w:val="13"/>
                <w:color w:val="auto"/>
              </w:rPr>
              <w:t>Wilmer, TX</w:t>
            </w:r>
          </w:p>
        </w:tc>
        <w:tc>
          <w:tcPr>
            <w:tcW w:w="24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ind w:right="37"/>
              <w:spacing w:after="0"/>
              <w:rPr>
                <w:sz w:val="20"/>
                <w:szCs w:val="20"/>
                <w:color w:val="auto"/>
              </w:rPr>
            </w:pPr>
            <w:r>
              <w:rPr>
                <w:rFonts w:ascii="Times New Roman" w:cs="Times New Roman" w:eastAsia="Times New Roman" w:hAnsi="Times New Roman"/>
                <w:sz w:val="13"/>
                <w:szCs w:val="13"/>
                <w:color w:val="auto"/>
              </w:rPr>
              <w:t>19,402</w:t>
            </w:r>
          </w:p>
        </w:tc>
        <w:tc>
          <w:tcPr>
            <w:tcW w:w="30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19,625</w:t>
            </w:r>
          </w:p>
        </w:tc>
        <w:tc>
          <w:tcPr>
            <w:tcW w:w="90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3"/>
                <w:szCs w:val="13"/>
                <w:color w:val="auto"/>
              </w:rPr>
              <w:t>Floating</w:t>
            </w:r>
          </w:p>
        </w:tc>
        <w:tc>
          <w:tcPr>
            <w:tcW w:w="820" w:type="dxa"/>
            <w:vAlign w:val="bottom"/>
            <w:tcBorders>
              <w:bottom w:val="single" w:sz="8" w:color="CCEEFF"/>
            </w:tcBorders>
          </w:tcPr>
          <w:p>
            <w:pPr>
              <w:jc w:val="right"/>
              <w:ind w:right="257"/>
              <w:spacing w:after="0"/>
              <w:rPr>
                <w:sz w:val="20"/>
                <w:szCs w:val="20"/>
                <w:color w:val="auto"/>
              </w:rPr>
            </w:pPr>
            <w:r>
              <w:rPr>
                <w:rFonts w:ascii="Times New Roman" w:cs="Times New Roman" w:eastAsia="Times New Roman" w:hAnsi="Times New Roman"/>
                <w:sz w:val="13"/>
                <w:szCs w:val="13"/>
                <w:color w:val="auto"/>
              </w:rPr>
              <w:t>2.7%</w:t>
            </w:r>
          </w:p>
        </w:tc>
        <w:tc>
          <w:tcPr>
            <w:tcW w:w="840" w:type="dxa"/>
            <w:vAlign w:val="bottom"/>
            <w:tcBorders>
              <w:bottom w:val="single" w:sz="8" w:color="CCEEFF"/>
            </w:tcBorders>
          </w:tcPr>
          <w:p>
            <w:pPr>
              <w:jc w:val="right"/>
              <w:ind w:right="197"/>
              <w:spacing w:after="0"/>
              <w:rPr>
                <w:sz w:val="20"/>
                <w:szCs w:val="20"/>
                <w:color w:val="auto"/>
              </w:rPr>
            </w:pPr>
            <w:r>
              <w:rPr>
                <w:rFonts w:ascii="Times New Roman" w:cs="Times New Roman" w:eastAsia="Times New Roman" w:hAnsi="Times New Roman"/>
                <w:sz w:val="13"/>
                <w:szCs w:val="13"/>
                <w:color w:val="auto"/>
              </w:rPr>
              <w:t>6.9%</w:t>
            </w:r>
          </w:p>
        </w:tc>
        <w:tc>
          <w:tcPr>
            <w:tcW w:w="1020" w:type="dxa"/>
            <w:vAlign w:val="bottom"/>
            <w:tcBorders>
              <w:bottom w:val="single" w:sz="8" w:color="CCEEFF"/>
            </w:tcBorders>
          </w:tcPr>
          <w:p>
            <w:pPr>
              <w:ind w:left="280"/>
              <w:spacing w:after="0"/>
              <w:rPr>
                <w:sz w:val="20"/>
                <w:szCs w:val="20"/>
                <w:color w:val="auto"/>
              </w:rPr>
            </w:pPr>
            <w:r>
              <w:rPr>
                <w:rFonts w:ascii="Times New Roman" w:cs="Times New Roman" w:eastAsia="Times New Roman" w:hAnsi="Times New Roman"/>
                <w:sz w:val="13"/>
                <w:szCs w:val="13"/>
                <w:color w:val="auto"/>
              </w:rPr>
              <w:t>5/9/2031</w:t>
            </w:r>
          </w:p>
        </w:tc>
        <w:tc>
          <w:tcPr>
            <w:tcW w:w="900" w:type="dxa"/>
            <w:vAlign w:val="bottom"/>
            <w:tcBorders>
              <w:bottom w:val="single" w:sz="8" w:color="CCEEFF"/>
            </w:tcBorders>
          </w:tcPr>
          <w:p>
            <w:pPr>
              <w:jc w:val="right"/>
              <w:ind w:right="317"/>
              <w:spacing w:after="0"/>
              <w:rPr>
                <w:sz w:val="20"/>
                <w:szCs w:val="20"/>
                <w:color w:val="auto"/>
              </w:rPr>
            </w:pPr>
            <w:r>
              <w:rPr>
                <w:rFonts w:ascii="Times New Roman" w:cs="Times New Roman" w:eastAsia="Times New Roman" w:hAnsi="Times New Roman"/>
                <w:sz w:val="13"/>
                <w:szCs w:val="13"/>
                <w:color w:val="auto"/>
              </w:rPr>
              <w:t>44%</w:t>
            </w:r>
          </w:p>
        </w:tc>
        <w:tc>
          <w:tcPr>
            <w:tcW w:w="860" w:type="dxa"/>
            <w:vAlign w:val="bottom"/>
            <w:tcBorders>
              <w:bottom w:val="single" w:sz="8" w:color="CCEEFF"/>
            </w:tcBorders>
          </w:tcPr>
          <w:p>
            <w:pPr>
              <w:jc w:val="center"/>
              <w:spacing w:after="0"/>
              <w:rPr>
                <w:sz w:val="20"/>
                <w:szCs w:val="20"/>
                <w:color w:val="auto"/>
              </w:rPr>
            </w:pPr>
            <w:r>
              <w:rPr>
                <w:rFonts w:ascii="Times New Roman" w:cs="Times New Roman" w:eastAsia="Times New Roman" w:hAnsi="Times New Roman"/>
                <w:sz w:val="13"/>
                <w:szCs w:val="13"/>
                <w:color w:val="auto"/>
                <w:w w:val="91"/>
              </w:rPr>
              <w:t>3</w:t>
            </w:r>
          </w:p>
        </w:tc>
      </w:tr>
      <w:tr>
        <w:trPr>
          <w:trHeight w:val="196"/>
        </w:trPr>
        <w:tc>
          <w:tcPr>
            <w:tcW w:w="26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Total/Weighted average industrial loans</w:t>
            </w:r>
          </w:p>
        </w:tc>
        <w:tc>
          <w:tcPr>
            <w:tcW w:w="156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w w:val="91"/>
              </w:rPr>
              <w:t>$</w:t>
            </w:r>
          </w:p>
        </w:tc>
        <w:tc>
          <w:tcPr>
            <w:tcW w:w="600" w:type="dxa"/>
            <w:vAlign w:val="bottom"/>
            <w:tcBorders>
              <w:bottom w:val="single" w:sz="8" w:color="auto"/>
            </w:tcBorders>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rPr>
              <w:t>82,591</w:t>
            </w:r>
          </w:p>
        </w:tc>
        <w:tc>
          <w:tcPr>
            <w:tcW w:w="300" w:type="dxa"/>
            <w:vAlign w:val="bottom"/>
            <w:tcBorders>
              <w:bottom w:val="single" w:sz="8" w:color="auto"/>
            </w:tcBorders>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83,411</w:t>
            </w:r>
          </w:p>
        </w:tc>
        <w:tc>
          <w:tcPr>
            <w:tcW w:w="900" w:type="dxa"/>
            <w:vAlign w:val="bottom"/>
            <w:shd w:val="clear" w:color="auto" w:fill="CCEEFF"/>
          </w:tcPr>
          <w:p>
            <w:pPr>
              <w:spacing w:after="0"/>
              <w:rPr>
                <w:sz w:val="17"/>
                <w:szCs w:val="17"/>
                <w:color w:val="auto"/>
              </w:rPr>
            </w:pPr>
          </w:p>
        </w:tc>
        <w:tc>
          <w:tcPr>
            <w:tcW w:w="820" w:type="dxa"/>
            <w:vAlign w:val="bottom"/>
            <w:shd w:val="clear" w:color="auto" w:fill="CCEEFF"/>
          </w:tcPr>
          <w:p>
            <w:pPr>
              <w:jc w:val="right"/>
              <w:ind w:right="257"/>
              <w:spacing w:after="0"/>
              <w:rPr>
                <w:sz w:val="20"/>
                <w:szCs w:val="20"/>
                <w:color w:val="auto"/>
              </w:rPr>
            </w:pPr>
            <w:r>
              <w:rPr>
                <w:rFonts w:ascii="Times New Roman" w:cs="Times New Roman" w:eastAsia="Times New Roman" w:hAnsi="Times New Roman"/>
                <w:sz w:val="13"/>
                <w:szCs w:val="13"/>
                <w:color w:val="auto"/>
              </w:rPr>
              <w:t>2.6%</w:t>
            </w:r>
          </w:p>
        </w:tc>
        <w:tc>
          <w:tcPr>
            <w:tcW w:w="840" w:type="dxa"/>
            <w:vAlign w:val="bottom"/>
            <w:shd w:val="clear" w:color="auto" w:fill="CCEEFF"/>
          </w:tcPr>
          <w:p>
            <w:pPr>
              <w:jc w:val="right"/>
              <w:ind w:right="197"/>
              <w:spacing w:after="0"/>
              <w:rPr>
                <w:sz w:val="20"/>
                <w:szCs w:val="20"/>
                <w:color w:val="auto"/>
              </w:rPr>
            </w:pPr>
            <w:r>
              <w:rPr>
                <w:rFonts w:ascii="Times New Roman" w:cs="Times New Roman" w:eastAsia="Times New Roman" w:hAnsi="Times New Roman"/>
                <w:sz w:val="13"/>
                <w:szCs w:val="13"/>
                <w:color w:val="auto"/>
              </w:rPr>
              <w:t>7.0%</w:t>
            </w:r>
          </w:p>
        </w:tc>
        <w:tc>
          <w:tcPr>
            <w:tcW w:w="102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3"/>
                <w:szCs w:val="13"/>
                <w:color w:val="auto"/>
              </w:rPr>
              <w:t>4.6 years</w:t>
            </w:r>
          </w:p>
        </w:tc>
        <w:tc>
          <w:tcPr>
            <w:tcW w:w="900" w:type="dxa"/>
            <w:vAlign w:val="bottom"/>
            <w:shd w:val="clear" w:color="auto" w:fill="CCEEFF"/>
          </w:tcPr>
          <w:p>
            <w:pPr>
              <w:spacing w:after="0"/>
              <w:rPr>
                <w:sz w:val="17"/>
                <w:szCs w:val="17"/>
                <w:color w:val="auto"/>
              </w:rPr>
            </w:pPr>
          </w:p>
        </w:tc>
        <w:tc>
          <w:tcPr>
            <w:tcW w:w="8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8"/>
              </w:rPr>
              <w:t>3.0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257175</wp:posOffset>
            </wp:positionV>
            <wp:extent cx="7132320" cy="14541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Hotel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21590</wp:posOffset>
            </wp:positionV>
            <wp:extent cx="713232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37"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7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3"/>
                <w:szCs w:val="13"/>
                <w:color w:val="auto"/>
              </w:rPr>
              <w:t>Loan 111</w:t>
            </w:r>
          </w:p>
        </w:tc>
        <w:tc>
          <w:tcPr>
            <w:tcW w:w="98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3"/>
                <w:szCs w:val="13"/>
                <w:color w:val="auto"/>
              </w:rPr>
              <w:t>Senior</w:t>
            </w:r>
          </w:p>
        </w:tc>
        <w:tc>
          <w:tcPr>
            <w:tcW w:w="960" w:type="dxa"/>
            <w:vAlign w:val="bottom"/>
            <w:tcBorders>
              <w:bottom w:val="single" w:sz="8" w:color="CCEEFF"/>
            </w:tcBorders>
          </w:tcPr>
          <w:p>
            <w:pPr>
              <w:jc w:val="right"/>
              <w:ind w:right="77"/>
              <w:spacing w:after="0"/>
              <w:rPr>
                <w:sz w:val="20"/>
                <w:szCs w:val="20"/>
                <w:color w:val="auto"/>
              </w:rPr>
            </w:pPr>
            <w:r>
              <w:rPr>
                <w:rFonts w:ascii="Times New Roman" w:cs="Times New Roman" w:eastAsia="Times New Roman" w:hAnsi="Times New Roman"/>
                <w:sz w:val="13"/>
                <w:szCs w:val="13"/>
                <w:color w:val="auto"/>
              </w:rPr>
              <w:t>3/12/2026</w:t>
            </w:r>
          </w:p>
        </w:tc>
        <w:tc>
          <w:tcPr>
            <w:tcW w:w="1560" w:type="dxa"/>
            <w:vAlign w:val="bottom"/>
            <w:tcBorders>
              <w:bottom w:val="single" w:sz="8" w:color="CCEEFF"/>
            </w:tcBorders>
          </w:tcPr>
          <w:p>
            <w:pPr>
              <w:ind w:left="160"/>
              <w:spacing w:after="0"/>
              <w:rPr>
                <w:sz w:val="20"/>
                <w:szCs w:val="20"/>
                <w:color w:val="auto"/>
              </w:rPr>
            </w:pPr>
            <w:r>
              <w:rPr>
                <w:rFonts w:ascii="Times New Roman" w:cs="Times New Roman" w:eastAsia="Times New Roman" w:hAnsi="Times New Roman"/>
                <w:sz w:val="13"/>
                <w:szCs w:val="13"/>
                <w:color w:val="auto"/>
              </w:rPr>
              <w:t>Chicago, IL</w:t>
            </w:r>
          </w:p>
        </w:tc>
        <w:tc>
          <w:tcPr>
            <w:tcW w:w="160" w:type="dxa"/>
            <w:vAlign w:val="bottom"/>
            <w:tcBorders>
              <w:bottom w:val="single" w:sz="8" w:color="auto"/>
            </w:tcBorders>
          </w:tcPr>
          <w:p>
            <w:pPr>
              <w:jc w:val="right"/>
              <w:ind w:right="17"/>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24,491</w:t>
            </w:r>
          </w:p>
        </w:tc>
        <w:tc>
          <w:tcPr>
            <w:tcW w:w="10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jc w:val="right"/>
              <w:ind w:right="17"/>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24,700</w:t>
            </w:r>
          </w:p>
        </w:tc>
        <w:tc>
          <w:tcPr>
            <w:tcW w:w="90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3"/>
                <w:szCs w:val="13"/>
                <w:color w:val="auto"/>
              </w:rPr>
              <w:t>Floating</w:t>
            </w:r>
          </w:p>
        </w:tc>
        <w:tc>
          <w:tcPr>
            <w:tcW w:w="820" w:type="dxa"/>
            <w:vAlign w:val="bottom"/>
            <w:tcBorders>
              <w:bottom w:val="single" w:sz="8" w:color="CCEEFF"/>
            </w:tcBorders>
          </w:tcPr>
          <w:p>
            <w:pPr>
              <w:jc w:val="right"/>
              <w:ind w:right="257"/>
              <w:spacing w:after="0"/>
              <w:rPr>
                <w:sz w:val="20"/>
                <w:szCs w:val="20"/>
                <w:color w:val="auto"/>
              </w:rPr>
            </w:pPr>
            <w:r>
              <w:rPr>
                <w:rFonts w:ascii="Times New Roman" w:cs="Times New Roman" w:eastAsia="Times New Roman" w:hAnsi="Times New Roman"/>
                <w:sz w:val="13"/>
                <w:szCs w:val="13"/>
                <w:color w:val="auto"/>
              </w:rPr>
              <w:t>3.2%</w:t>
            </w:r>
          </w:p>
        </w:tc>
        <w:tc>
          <w:tcPr>
            <w:tcW w:w="840" w:type="dxa"/>
            <w:vAlign w:val="bottom"/>
            <w:tcBorders>
              <w:bottom w:val="single" w:sz="8" w:color="CCEEFF"/>
            </w:tcBorders>
          </w:tcPr>
          <w:p>
            <w:pPr>
              <w:jc w:val="right"/>
              <w:ind w:right="197"/>
              <w:spacing w:after="0"/>
              <w:rPr>
                <w:sz w:val="20"/>
                <w:szCs w:val="20"/>
                <w:color w:val="auto"/>
              </w:rPr>
            </w:pPr>
            <w:r>
              <w:rPr>
                <w:rFonts w:ascii="Times New Roman" w:cs="Times New Roman" w:eastAsia="Times New Roman" w:hAnsi="Times New Roman"/>
                <w:sz w:val="13"/>
                <w:szCs w:val="13"/>
                <w:color w:val="auto"/>
              </w:rPr>
              <w:t>7.6%</w:t>
            </w:r>
          </w:p>
        </w:tc>
        <w:tc>
          <w:tcPr>
            <w:tcW w:w="1020" w:type="dxa"/>
            <w:vAlign w:val="bottom"/>
            <w:tcBorders>
              <w:bottom w:val="single" w:sz="8" w:color="CCEEFF"/>
            </w:tcBorders>
          </w:tcPr>
          <w:p>
            <w:pPr>
              <w:ind w:left="280"/>
              <w:spacing w:after="0"/>
              <w:rPr>
                <w:sz w:val="20"/>
                <w:szCs w:val="20"/>
                <w:color w:val="auto"/>
              </w:rPr>
            </w:pPr>
            <w:r>
              <w:rPr>
                <w:rFonts w:ascii="Times New Roman" w:cs="Times New Roman" w:eastAsia="Times New Roman" w:hAnsi="Times New Roman"/>
                <w:sz w:val="13"/>
                <w:szCs w:val="13"/>
                <w:color w:val="auto"/>
              </w:rPr>
              <w:t>4/9/2031</w:t>
            </w:r>
          </w:p>
        </w:tc>
        <w:tc>
          <w:tcPr>
            <w:tcW w:w="900" w:type="dxa"/>
            <w:vAlign w:val="bottom"/>
            <w:tcBorders>
              <w:bottom w:val="single" w:sz="8" w:color="CCEEFF"/>
            </w:tcBorders>
          </w:tcPr>
          <w:p>
            <w:pPr>
              <w:jc w:val="right"/>
              <w:ind w:right="317"/>
              <w:spacing w:after="0"/>
              <w:rPr>
                <w:sz w:val="20"/>
                <w:szCs w:val="20"/>
                <w:color w:val="auto"/>
              </w:rPr>
            </w:pPr>
            <w:r>
              <w:rPr>
                <w:rFonts w:ascii="Times New Roman" w:cs="Times New Roman" w:eastAsia="Times New Roman" w:hAnsi="Times New Roman"/>
                <w:sz w:val="13"/>
                <w:szCs w:val="13"/>
                <w:color w:val="auto"/>
              </w:rPr>
              <w:t>50%</w:t>
            </w:r>
          </w:p>
        </w:tc>
        <w:tc>
          <w:tcPr>
            <w:tcW w:w="860" w:type="dxa"/>
            <w:vAlign w:val="bottom"/>
            <w:tcBorders>
              <w:bottom w:val="single" w:sz="8" w:color="CCEEFF"/>
            </w:tcBorders>
          </w:tcPr>
          <w:p>
            <w:pPr>
              <w:jc w:val="center"/>
              <w:spacing w:after="0"/>
              <w:rPr>
                <w:sz w:val="20"/>
                <w:szCs w:val="20"/>
                <w:color w:val="auto"/>
              </w:rPr>
            </w:pPr>
            <w:r>
              <w:rPr>
                <w:rFonts w:ascii="Times New Roman" w:cs="Times New Roman" w:eastAsia="Times New Roman" w:hAnsi="Times New Roman"/>
                <w:sz w:val="13"/>
                <w:szCs w:val="13"/>
                <w:color w:val="auto"/>
                <w:w w:val="91"/>
              </w:rPr>
              <w:t>3</w:t>
            </w:r>
          </w:p>
        </w:tc>
        <w:tc>
          <w:tcPr>
            <w:tcW w:w="0" w:type="dxa"/>
            <w:vAlign w:val="bottom"/>
          </w:tcPr>
          <w:p>
            <w:pPr>
              <w:spacing w:after="0"/>
              <w:rPr>
                <w:sz w:val="1"/>
                <w:szCs w:val="1"/>
                <w:color w:val="auto"/>
              </w:rPr>
            </w:pPr>
          </w:p>
        </w:tc>
      </w:tr>
      <w:tr>
        <w:trPr>
          <w:trHeight w:val="196"/>
        </w:trPr>
        <w:tc>
          <w:tcPr>
            <w:tcW w:w="26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Total/Weighted average hotel loans</w:t>
            </w:r>
          </w:p>
        </w:tc>
        <w:tc>
          <w:tcPr>
            <w:tcW w:w="156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24,491</w:t>
            </w:r>
          </w:p>
        </w:tc>
        <w:tc>
          <w:tcPr>
            <w:tcW w:w="10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24,700</w:t>
            </w:r>
          </w:p>
        </w:tc>
        <w:tc>
          <w:tcPr>
            <w:tcW w:w="900" w:type="dxa"/>
            <w:vAlign w:val="bottom"/>
            <w:shd w:val="clear" w:color="auto" w:fill="CCEEFF"/>
          </w:tcPr>
          <w:p>
            <w:pPr>
              <w:spacing w:after="0"/>
              <w:rPr>
                <w:sz w:val="17"/>
                <w:szCs w:val="17"/>
                <w:color w:val="auto"/>
              </w:rPr>
            </w:pPr>
          </w:p>
        </w:tc>
        <w:tc>
          <w:tcPr>
            <w:tcW w:w="820" w:type="dxa"/>
            <w:vAlign w:val="bottom"/>
            <w:shd w:val="clear" w:color="auto" w:fill="CCEEFF"/>
          </w:tcPr>
          <w:p>
            <w:pPr>
              <w:jc w:val="right"/>
              <w:ind w:right="257"/>
              <w:spacing w:after="0"/>
              <w:rPr>
                <w:sz w:val="20"/>
                <w:szCs w:val="20"/>
                <w:color w:val="auto"/>
              </w:rPr>
            </w:pPr>
            <w:r>
              <w:rPr>
                <w:rFonts w:ascii="Times New Roman" w:cs="Times New Roman" w:eastAsia="Times New Roman" w:hAnsi="Times New Roman"/>
                <w:sz w:val="13"/>
                <w:szCs w:val="13"/>
                <w:color w:val="auto"/>
              </w:rPr>
              <w:t>3.2%</w:t>
            </w:r>
          </w:p>
        </w:tc>
        <w:tc>
          <w:tcPr>
            <w:tcW w:w="840" w:type="dxa"/>
            <w:vAlign w:val="bottom"/>
            <w:shd w:val="clear" w:color="auto" w:fill="CCEEFF"/>
          </w:tcPr>
          <w:p>
            <w:pPr>
              <w:jc w:val="right"/>
              <w:ind w:right="197"/>
              <w:spacing w:after="0"/>
              <w:rPr>
                <w:sz w:val="20"/>
                <w:szCs w:val="20"/>
                <w:color w:val="auto"/>
              </w:rPr>
            </w:pPr>
            <w:r>
              <w:rPr>
                <w:rFonts w:ascii="Times New Roman" w:cs="Times New Roman" w:eastAsia="Times New Roman" w:hAnsi="Times New Roman"/>
                <w:sz w:val="13"/>
                <w:szCs w:val="13"/>
                <w:color w:val="auto"/>
              </w:rPr>
              <w:t>7.6%</w:t>
            </w:r>
          </w:p>
        </w:tc>
        <w:tc>
          <w:tcPr>
            <w:tcW w:w="102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3"/>
                <w:szCs w:val="13"/>
                <w:color w:val="auto"/>
              </w:rPr>
              <w:t>4.5 years</w:t>
            </w:r>
          </w:p>
        </w:tc>
        <w:tc>
          <w:tcPr>
            <w:tcW w:w="900" w:type="dxa"/>
            <w:vAlign w:val="bottom"/>
            <w:shd w:val="clear" w:color="auto" w:fill="CCEEFF"/>
          </w:tcPr>
          <w:p>
            <w:pPr>
              <w:spacing w:after="0"/>
              <w:rPr>
                <w:sz w:val="17"/>
                <w:szCs w:val="17"/>
                <w:color w:val="auto"/>
              </w:rPr>
            </w:pPr>
          </w:p>
        </w:tc>
        <w:tc>
          <w:tcPr>
            <w:tcW w:w="8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8"/>
              </w:rPr>
              <w:t>3.0</w:t>
            </w:r>
          </w:p>
        </w:tc>
        <w:tc>
          <w:tcPr>
            <w:tcW w:w="0" w:type="dxa"/>
            <w:vAlign w:val="bottom"/>
          </w:tcPr>
          <w:p>
            <w:pPr>
              <w:spacing w:after="0"/>
              <w:rPr>
                <w:sz w:val="1"/>
                <w:szCs w:val="1"/>
                <w:color w:val="auto"/>
              </w:rPr>
            </w:pPr>
          </w:p>
        </w:tc>
      </w:tr>
      <w:tr>
        <w:trPr>
          <w:trHeight w:val="418"/>
        </w:trPr>
        <w:tc>
          <w:tcPr>
            <w:tcW w:w="700" w:type="dxa"/>
            <w:vAlign w:val="bottom"/>
            <w:tcBorders>
              <w:bottom w:val="single" w:sz="8" w:color="CCEEFF"/>
            </w:tcBorders>
          </w:tcPr>
          <w:p>
            <w:pPr>
              <w:spacing w:after="0"/>
              <w:rPr>
                <w:sz w:val="24"/>
                <w:szCs w:val="24"/>
                <w:color w:val="auto"/>
              </w:rPr>
            </w:pPr>
          </w:p>
        </w:tc>
        <w:tc>
          <w:tcPr>
            <w:tcW w:w="980" w:type="dxa"/>
            <w:vAlign w:val="bottom"/>
            <w:tcBorders>
              <w:bottom w:val="single" w:sz="8" w:color="CCEEFF"/>
            </w:tcBorders>
          </w:tcPr>
          <w:p>
            <w:pPr>
              <w:spacing w:after="0"/>
              <w:rPr>
                <w:sz w:val="24"/>
                <w:szCs w:val="24"/>
                <w:color w:val="auto"/>
              </w:rPr>
            </w:pPr>
          </w:p>
        </w:tc>
        <w:tc>
          <w:tcPr>
            <w:tcW w:w="960" w:type="dxa"/>
            <w:vAlign w:val="bottom"/>
            <w:tcBorders>
              <w:bottom w:val="single" w:sz="8" w:color="CCEEFF"/>
            </w:tcBorders>
          </w:tcPr>
          <w:p>
            <w:pPr>
              <w:spacing w:after="0"/>
              <w:rPr>
                <w:sz w:val="24"/>
                <w:szCs w:val="24"/>
                <w:color w:val="auto"/>
              </w:rPr>
            </w:pPr>
          </w:p>
        </w:tc>
        <w:tc>
          <w:tcPr>
            <w:tcW w:w="156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900" w:type="dxa"/>
            <w:vAlign w:val="bottom"/>
            <w:tcBorders>
              <w:bottom w:val="single" w:sz="8" w:color="CCEEFF"/>
            </w:tcBorders>
          </w:tcPr>
          <w:p>
            <w:pPr>
              <w:spacing w:after="0"/>
              <w:rPr>
                <w:sz w:val="24"/>
                <w:szCs w:val="24"/>
                <w:color w:val="auto"/>
              </w:rPr>
            </w:pPr>
          </w:p>
        </w:tc>
        <w:tc>
          <w:tcPr>
            <w:tcW w:w="820" w:type="dxa"/>
            <w:vAlign w:val="bottom"/>
            <w:tcBorders>
              <w:bottom w:val="single" w:sz="8" w:color="CCEEFF"/>
            </w:tcBorders>
          </w:tcPr>
          <w:p>
            <w:pPr>
              <w:spacing w:after="0"/>
              <w:rPr>
                <w:sz w:val="24"/>
                <w:szCs w:val="24"/>
                <w:color w:val="auto"/>
              </w:rPr>
            </w:pPr>
          </w:p>
        </w:tc>
        <w:tc>
          <w:tcPr>
            <w:tcW w:w="840" w:type="dxa"/>
            <w:vAlign w:val="bottom"/>
            <w:tcBorders>
              <w:bottom w:val="single" w:sz="8" w:color="CCEEFF"/>
            </w:tcBorders>
          </w:tcPr>
          <w:p>
            <w:pPr>
              <w:spacing w:after="0"/>
              <w:rPr>
                <w:sz w:val="24"/>
                <w:szCs w:val="24"/>
                <w:color w:val="auto"/>
              </w:rPr>
            </w:pPr>
          </w:p>
        </w:tc>
        <w:tc>
          <w:tcPr>
            <w:tcW w:w="1020" w:type="dxa"/>
            <w:vAlign w:val="bottom"/>
            <w:tcBorders>
              <w:bottom w:val="single" w:sz="8" w:color="CCEEFF"/>
            </w:tcBorders>
          </w:tcPr>
          <w:p>
            <w:pPr>
              <w:spacing w:after="0"/>
              <w:rPr>
                <w:sz w:val="24"/>
                <w:szCs w:val="24"/>
                <w:color w:val="auto"/>
              </w:rPr>
            </w:pPr>
          </w:p>
        </w:tc>
        <w:tc>
          <w:tcPr>
            <w:tcW w:w="900" w:type="dxa"/>
            <w:vAlign w:val="bottom"/>
            <w:tcBorders>
              <w:bottom w:val="single" w:sz="8" w:color="CCEEFF"/>
            </w:tcBorders>
          </w:tcPr>
          <w:p>
            <w:pPr>
              <w:spacing w:after="0"/>
              <w:rPr>
                <w:sz w:val="24"/>
                <w:szCs w:val="24"/>
                <w:color w:val="auto"/>
              </w:rPr>
            </w:pPr>
          </w:p>
        </w:tc>
        <w:tc>
          <w:tcPr>
            <w:tcW w:w="860" w:type="dxa"/>
            <w:vAlign w:val="bottom"/>
            <w:tcBorders>
              <w:bottom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131"/>
        </w:trPr>
        <w:tc>
          <w:tcPr>
            <w:tcW w:w="4200" w:type="dxa"/>
            <w:vAlign w:val="bottom"/>
            <w:gridSpan w:val="4"/>
            <w:shd w:val="clear" w:color="auto" w:fill="CCEEFF"/>
          </w:tcPr>
          <w:p>
            <w:pPr>
              <w:ind w:left="20"/>
              <w:spacing w:after="0" w:line="131" w:lineRule="exact"/>
              <w:rPr>
                <w:sz w:val="20"/>
                <w:szCs w:val="20"/>
                <w:color w:val="auto"/>
              </w:rPr>
            </w:pPr>
            <w:r>
              <w:rPr>
                <w:rFonts w:ascii="Times New Roman" w:cs="Times New Roman" w:eastAsia="Times New Roman" w:hAnsi="Times New Roman"/>
                <w:sz w:val="14"/>
                <w:szCs w:val="14"/>
                <w:b w:val="1"/>
                <w:bCs w:val="1"/>
                <w:color w:val="auto"/>
              </w:rPr>
              <w:t>Total/Weighted average senior and mezzanine loans and preferred</w:t>
            </w:r>
          </w:p>
        </w:tc>
        <w:tc>
          <w:tcPr>
            <w:tcW w:w="160" w:type="dxa"/>
            <w:vAlign w:val="bottom"/>
            <w:vMerge w:val="restart"/>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3,082,324</w:t>
            </w:r>
          </w:p>
        </w:tc>
        <w:tc>
          <w:tcPr>
            <w:tcW w:w="100" w:type="dxa"/>
            <w:vAlign w:val="bottom"/>
            <w:shd w:val="clear" w:color="auto" w:fill="CCEEFF"/>
          </w:tcPr>
          <w:p>
            <w:pPr>
              <w:spacing w:after="0"/>
              <w:rPr>
                <w:sz w:val="11"/>
                <w:szCs w:val="11"/>
                <w:color w:val="auto"/>
              </w:rPr>
            </w:pPr>
          </w:p>
        </w:tc>
        <w:tc>
          <w:tcPr>
            <w:tcW w:w="160" w:type="dxa"/>
            <w:vAlign w:val="bottom"/>
            <w:vMerge w:val="restart"/>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3,089,431</w:t>
            </w:r>
          </w:p>
        </w:tc>
        <w:tc>
          <w:tcPr>
            <w:tcW w:w="90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93"/>
        </w:trPr>
        <w:tc>
          <w:tcPr>
            <w:tcW w:w="16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equity - Our Portfolio</w:t>
            </w:r>
          </w:p>
        </w:tc>
        <w:tc>
          <w:tcPr>
            <w:tcW w:w="960" w:type="dxa"/>
            <w:vAlign w:val="bottom"/>
            <w:tcBorders>
              <w:bottom w:val="single" w:sz="8" w:color="CCEEFF"/>
            </w:tcBorders>
            <w:shd w:val="clear" w:color="auto" w:fill="CCEEFF"/>
          </w:tcPr>
          <w:p>
            <w:pPr>
              <w:spacing w:after="0"/>
              <w:rPr>
                <w:sz w:val="16"/>
                <w:szCs w:val="16"/>
                <w:color w:val="auto"/>
              </w:rPr>
            </w:pPr>
          </w:p>
        </w:tc>
        <w:tc>
          <w:tcPr>
            <w:tcW w:w="156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auto"/>
            </w:tcBorders>
            <w:vMerge w:val="continue"/>
            <w:shd w:val="clear" w:color="auto" w:fill="CCEEFF"/>
          </w:tcPr>
          <w:p>
            <w:pPr>
              <w:spacing w:after="0"/>
              <w:rPr>
                <w:sz w:val="16"/>
                <w:szCs w:val="16"/>
                <w:color w:val="auto"/>
              </w:rPr>
            </w:pPr>
          </w:p>
        </w:tc>
        <w:tc>
          <w:tcPr>
            <w:tcW w:w="640" w:type="dxa"/>
            <w:vAlign w:val="bottom"/>
            <w:tcBorders>
              <w:bottom w:val="single" w:sz="8" w:color="auto"/>
            </w:tcBorders>
            <w:vMerge w:val="continue"/>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auto"/>
            </w:tcBorders>
            <w:vMerge w:val="continue"/>
            <w:shd w:val="clear" w:color="auto" w:fill="CCEEFF"/>
          </w:tcPr>
          <w:p>
            <w:pPr>
              <w:spacing w:after="0"/>
              <w:rPr>
                <w:sz w:val="16"/>
                <w:szCs w:val="16"/>
                <w:color w:val="auto"/>
              </w:rPr>
            </w:pPr>
          </w:p>
        </w:tc>
        <w:tc>
          <w:tcPr>
            <w:tcW w:w="640" w:type="dxa"/>
            <w:vAlign w:val="bottom"/>
            <w:tcBorders>
              <w:bottom w:val="single" w:sz="8" w:color="auto"/>
            </w:tcBorders>
            <w:vMerge w:val="continue"/>
            <w:shd w:val="clear" w:color="auto" w:fill="CCEEFF"/>
          </w:tcPr>
          <w:p>
            <w:pPr>
              <w:spacing w:after="0"/>
              <w:rPr>
                <w:sz w:val="16"/>
                <w:szCs w:val="16"/>
                <w:color w:val="auto"/>
              </w:rPr>
            </w:pPr>
          </w:p>
        </w:tc>
        <w:tc>
          <w:tcPr>
            <w:tcW w:w="900" w:type="dxa"/>
            <w:vAlign w:val="bottom"/>
            <w:tcBorders>
              <w:bottom w:val="single" w:sz="8" w:color="CCEEFF"/>
            </w:tcBorders>
            <w:shd w:val="clear" w:color="auto" w:fill="CCEEFF"/>
          </w:tcPr>
          <w:p>
            <w:pPr>
              <w:spacing w:after="0"/>
              <w:rPr>
                <w:sz w:val="16"/>
                <w:szCs w:val="16"/>
                <w:color w:val="auto"/>
              </w:rPr>
            </w:pPr>
          </w:p>
        </w:tc>
        <w:tc>
          <w:tcPr>
            <w:tcW w:w="820" w:type="dxa"/>
            <w:vAlign w:val="bottom"/>
            <w:tcBorders>
              <w:bottom w:val="single" w:sz="8" w:color="CCEEFF"/>
            </w:tcBorders>
            <w:shd w:val="clear" w:color="auto" w:fill="CCEEFF"/>
          </w:tcPr>
          <w:p>
            <w:pPr>
              <w:jc w:val="right"/>
              <w:ind w:right="257"/>
              <w:spacing w:after="0"/>
              <w:rPr>
                <w:sz w:val="20"/>
                <w:szCs w:val="20"/>
                <w:color w:val="auto"/>
              </w:rPr>
            </w:pPr>
            <w:r>
              <w:rPr>
                <w:rFonts w:ascii="Times New Roman" w:cs="Times New Roman" w:eastAsia="Times New Roman" w:hAnsi="Times New Roman"/>
                <w:sz w:val="13"/>
                <w:szCs w:val="13"/>
                <w:color w:val="auto"/>
              </w:rPr>
              <w:t>3.3%</w:t>
            </w:r>
          </w:p>
        </w:tc>
        <w:tc>
          <w:tcPr>
            <w:tcW w:w="840" w:type="dxa"/>
            <w:vAlign w:val="bottom"/>
            <w:tcBorders>
              <w:bottom w:val="single" w:sz="8" w:color="CCEEFF"/>
            </w:tcBorders>
            <w:shd w:val="clear" w:color="auto" w:fill="CCEEFF"/>
          </w:tcPr>
          <w:p>
            <w:pPr>
              <w:jc w:val="right"/>
              <w:ind w:right="197"/>
              <w:spacing w:after="0"/>
              <w:rPr>
                <w:sz w:val="20"/>
                <w:szCs w:val="20"/>
                <w:color w:val="auto"/>
              </w:rPr>
            </w:pPr>
            <w:r>
              <w:rPr>
                <w:rFonts w:ascii="Times New Roman" w:cs="Times New Roman" w:eastAsia="Times New Roman" w:hAnsi="Times New Roman"/>
                <w:sz w:val="13"/>
                <w:szCs w:val="13"/>
                <w:color w:val="auto"/>
              </w:rPr>
              <w:t>7.4%</w:t>
            </w:r>
          </w:p>
        </w:tc>
        <w:tc>
          <w:tcPr>
            <w:tcW w:w="102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3"/>
                <w:szCs w:val="13"/>
                <w:color w:val="auto"/>
              </w:rPr>
              <w:t>2.5 years</w:t>
            </w:r>
          </w:p>
        </w:tc>
        <w:tc>
          <w:tcPr>
            <w:tcW w:w="900" w:type="dxa"/>
            <w:vAlign w:val="bottom"/>
            <w:tcBorders>
              <w:bottom w:val="single" w:sz="8" w:color="CCEEFF"/>
            </w:tcBorders>
            <w:shd w:val="clear" w:color="auto" w:fill="CCEEFF"/>
          </w:tcPr>
          <w:p>
            <w:pPr>
              <w:spacing w:after="0"/>
              <w:rPr>
                <w:sz w:val="16"/>
                <w:szCs w:val="16"/>
                <w:color w:val="auto"/>
              </w:rPr>
            </w:pPr>
          </w:p>
        </w:tc>
        <w:tc>
          <w:tcPr>
            <w:tcW w:w="8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8"/>
              </w:rPr>
              <w:t>3.1</w:t>
            </w:r>
          </w:p>
        </w:tc>
        <w:tc>
          <w:tcPr>
            <w:tcW w:w="0" w:type="dxa"/>
            <w:vAlign w:val="bottom"/>
          </w:tcPr>
          <w:p>
            <w:pPr>
              <w:spacing w:after="0"/>
              <w:rPr>
                <w:sz w:val="1"/>
                <w:szCs w:val="1"/>
                <w:color w:val="auto"/>
              </w:rPr>
            </w:pPr>
          </w:p>
        </w:tc>
      </w:tr>
      <w:tr>
        <w:trPr>
          <w:trHeight w:val="20"/>
        </w:trPr>
        <w:tc>
          <w:tcPr>
            <w:tcW w:w="7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_________________________________________</w:t>
      </w:r>
    </w:p>
    <w:p>
      <w:pPr>
        <w:spacing w:after="0" w:line="27" w:lineRule="exact"/>
        <w:rPr>
          <w:sz w:val="20"/>
          <w:szCs w:val="20"/>
          <w:color w:val="auto"/>
        </w:rPr>
      </w:pPr>
    </w:p>
    <w:p>
      <w:pPr>
        <w:ind w:left="320" w:hanging="312"/>
        <w:spacing w:after="0"/>
        <w:tabs>
          <w:tab w:leader="none" w:pos="320" w:val="left"/>
        </w:tabs>
        <w:numPr>
          <w:ilvl w:val="0"/>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carrying values at our share as of September 30, 2026 and excludes general CECL reserves.</w:t>
      </w:r>
    </w:p>
    <w:p>
      <w:pPr>
        <w:spacing w:after="0" w:line="14" w:lineRule="exact"/>
        <w:rPr>
          <w:rFonts w:ascii="Times New Roman" w:cs="Times New Roman" w:eastAsia="Times New Roman" w:hAnsi="Times New Roman"/>
          <w:sz w:val="14"/>
          <w:szCs w:val="14"/>
          <w:color w:val="auto"/>
        </w:rPr>
      </w:pPr>
    </w:p>
    <w:p>
      <w:pPr>
        <w:ind w:left="320" w:hanging="312"/>
        <w:spacing w:after="0"/>
        <w:tabs>
          <w:tab w:leader="none" w:pos="320" w:val="left"/>
        </w:tabs>
        <w:numPr>
          <w:ilvl w:val="0"/>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the stated coupon rate for loans; for floating rate loans, does not include Secured Overnight Financing Rate (“SOFR”), which was 3.91% as of September 30, 2026.</w:t>
      </w:r>
    </w:p>
    <w:p>
      <w:pPr>
        <w:spacing w:after="0" w:line="4" w:lineRule="exact"/>
        <w:rPr>
          <w:rFonts w:ascii="Times New Roman" w:cs="Times New Roman" w:eastAsia="Times New Roman" w:hAnsi="Times New Roman"/>
          <w:sz w:val="14"/>
          <w:szCs w:val="14"/>
          <w:color w:val="auto"/>
        </w:rPr>
      </w:pPr>
    </w:p>
    <w:p>
      <w:pPr>
        <w:ind w:left="340" w:right="20" w:hanging="332"/>
        <w:spacing w:after="0" w:line="259" w:lineRule="auto"/>
        <w:tabs>
          <w:tab w:leader="none" w:pos="332" w:val="left"/>
        </w:tabs>
        <w:numPr>
          <w:ilvl w:val="0"/>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addition to the stated cash coupon rate, unlevered all-in yield includes non-cash payment-in-kind interest income and the accrual of origination and exit fees. Unlevered all-in yield for the loan portfolio assumes the applicable floating benchmark rate as of September 30, 2026 for weighted average calculations.</w:t>
      </w:r>
    </w:p>
    <w:p>
      <w:pPr>
        <w:jc w:val="both"/>
        <w:ind w:left="340" w:hanging="332"/>
        <w:spacing w:after="0" w:line="256" w:lineRule="auto"/>
        <w:tabs>
          <w:tab w:leader="none" w:pos="332" w:val="left"/>
        </w:tabs>
        <w:numPr>
          <w:ilvl w:val="0"/>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231F20"/>
        </w:rPr>
        <w:t xml:space="preserve">Senior loans reflect the initial loan amount divided by the as-is appraised value as of the date the loan was originated. </w:t>
      </w:r>
      <w:r>
        <w:rPr>
          <w:rFonts w:ascii="Times New Roman" w:cs="Times New Roman" w:eastAsia="Times New Roman" w:hAnsi="Times New Roman"/>
          <w:sz w:val="14"/>
          <w:szCs w:val="14"/>
          <w:color w:val="000000"/>
        </w:rPr>
        <w:t>Mezzanine loans include attachment loan-to-value and detachment</w:t>
      </w:r>
      <w:r>
        <w:rPr>
          <w:rFonts w:ascii="Times New Roman" w:cs="Times New Roman" w:eastAsia="Times New Roman" w:hAnsi="Times New Roman"/>
          <w:sz w:val="14"/>
          <w:szCs w:val="14"/>
          <w:color w:val="231F20"/>
        </w:rPr>
        <w:t xml:space="preserve"> </w:t>
      </w:r>
      <w:r>
        <w:rPr>
          <w:rFonts w:ascii="Times New Roman" w:cs="Times New Roman" w:eastAsia="Times New Roman" w:hAnsi="Times New Roman"/>
          <w:sz w:val="14"/>
          <w:szCs w:val="14"/>
          <w:color w:val="000000"/>
        </w:rPr>
        <w:t>loan-to-value, respectively. Attachment loan-to-value reflects initial funding of loans senior to our position divided by the as-is appraised value as of the date the loan was originated. Detachment loan-to-value reflects the cumulative initial funding of our loan and the loans senior to our position divided by the as-is appraised value as of the date the loan was originated.</w:t>
      </w:r>
    </w:p>
    <w:p>
      <w:pPr>
        <w:spacing w:after="0" w:line="1" w:lineRule="exact"/>
        <w:rPr>
          <w:rFonts w:ascii="Times New Roman" w:cs="Times New Roman" w:eastAsia="Times New Roman" w:hAnsi="Times New Roman"/>
          <w:sz w:val="14"/>
          <w:szCs w:val="14"/>
          <w:color w:val="auto"/>
        </w:rPr>
      </w:pPr>
    </w:p>
    <w:p>
      <w:pPr>
        <w:ind w:left="320" w:hanging="312"/>
        <w:spacing w:after="0"/>
        <w:tabs>
          <w:tab w:leader="none" w:pos="320" w:val="left"/>
        </w:tabs>
        <w:numPr>
          <w:ilvl w:val="0"/>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On a quarterly basis, our senior and mezzanine loans are rated “1” through “5,” from less risk to greater risk. Represents risk ranking as of September 30, 2026.</w:t>
      </w:r>
    </w:p>
    <w:p>
      <w:pPr>
        <w:spacing w:after="0" w:line="11" w:lineRule="exact"/>
        <w:rPr>
          <w:rFonts w:ascii="Times New Roman" w:cs="Times New Roman" w:eastAsia="Times New Roman" w:hAnsi="Times New Roman"/>
          <w:sz w:val="14"/>
          <w:szCs w:val="14"/>
          <w:color w:val="auto"/>
        </w:rPr>
      </w:pPr>
    </w:p>
    <w:p>
      <w:pPr>
        <w:ind w:left="320" w:hanging="312"/>
        <w:spacing w:after="0"/>
        <w:tabs>
          <w:tab w:leader="none" w:pos="320" w:val="left"/>
        </w:tabs>
        <w:numPr>
          <w:ilvl w:val="0"/>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Loans 76-81 have payment-in-kind provisions and accrue interest at 14%.</w:t>
      </w:r>
    </w:p>
    <w:p>
      <w:pPr>
        <w:spacing w:after="0" w:line="14" w:lineRule="exact"/>
        <w:rPr>
          <w:rFonts w:ascii="Times New Roman" w:cs="Times New Roman" w:eastAsia="Times New Roman" w:hAnsi="Times New Roman"/>
          <w:sz w:val="14"/>
          <w:szCs w:val="14"/>
          <w:color w:val="auto"/>
        </w:rPr>
      </w:pPr>
    </w:p>
    <w:p>
      <w:pPr>
        <w:ind w:left="320" w:hanging="312"/>
        <w:spacing w:after="0"/>
        <w:tabs>
          <w:tab w:leader="none" w:pos="320" w:val="left"/>
        </w:tabs>
        <w:numPr>
          <w:ilvl w:val="0"/>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Loans 82 and 84 have payment-in-kind provisions and accrue interest at 15%.</w:t>
      </w:r>
    </w:p>
    <w:p>
      <w:pPr>
        <w:spacing w:after="0" w:line="14" w:lineRule="exact"/>
        <w:rPr>
          <w:rFonts w:ascii="Times New Roman" w:cs="Times New Roman" w:eastAsia="Times New Roman" w:hAnsi="Times New Roman"/>
          <w:sz w:val="14"/>
          <w:szCs w:val="14"/>
          <w:color w:val="auto"/>
        </w:rPr>
      </w:pPr>
    </w:p>
    <w:p>
      <w:pPr>
        <w:ind w:left="320" w:hanging="312"/>
        <w:spacing w:after="0"/>
        <w:tabs>
          <w:tab w:leader="none" w:pos="320" w:val="left"/>
        </w:tabs>
        <w:numPr>
          <w:ilvl w:val="0"/>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Loan 83 has a payment-in-kind provision and accrues interest at 10%</w:t>
      </w:r>
    </w:p>
    <w:p>
      <w:pPr>
        <w:spacing w:after="0" w:line="14" w:lineRule="exact"/>
        <w:rPr>
          <w:rFonts w:ascii="Times New Roman" w:cs="Times New Roman" w:eastAsia="Times New Roman" w:hAnsi="Times New Roman"/>
          <w:sz w:val="14"/>
          <w:szCs w:val="14"/>
          <w:color w:val="auto"/>
        </w:rPr>
      </w:pPr>
    </w:p>
    <w:p>
      <w:pPr>
        <w:ind w:left="320" w:hanging="312"/>
        <w:spacing w:after="0"/>
        <w:tabs>
          <w:tab w:leader="none" w:pos="320" w:val="left"/>
        </w:tabs>
        <w:numPr>
          <w:ilvl w:val="0"/>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Loan 99 was placed on nonaccrual status in April 2024; as such, no income is being recognized.</w:t>
      </w:r>
    </w:p>
    <w:p>
      <w:pPr>
        <w:spacing w:after="0" w:line="4" w:lineRule="exact"/>
        <w:rPr>
          <w:rFonts w:ascii="Times New Roman" w:cs="Times New Roman" w:eastAsia="Times New Roman" w:hAnsi="Times New Roman"/>
          <w:sz w:val="14"/>
          <w:szCs w:val="14"/>
          <w:color w:val="auto"/>
        </w:rPr>
      </w:pPr>
    </w:p>
    <w:p>
      <w:pPr>
        <w:ind w:left="320" w:hanging="312"/>
        <w:spacing w:after="0"/>
        <w:tabs>
          <w:tab w:leader="none" w:pos="320" w:val="left"/>
        </w:tabs>
        <w:numPr>
          <w:ilvl w:val="0"/>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Loan 101 has a payment-in-kind provision and accrues interest at 15%.</w:t>
      </w:r>
    </w:p>
    <w:p>
      <w:pPr>
        <w:spacing w:after="0" w:line="11" w:lineRule="exact"/>
        <w:rPr>
          <w:rFonts w:ascii="Times New Roman" w:cs="Times New Roman" w:eastAsia="Times New Roman" w:hAnsi="Times New Roman"/>
          <w:sz w:val="14"/>
          <w:szCs w:val="14"/>
          <w:color w:val="auto"/>
        </w:rPr>
      </w:pPr>
    </w:p>
    <w:p>
      <w:pPr>
        <w:ind w:left="320" w:hanging="312"/>
        <w:spacing w:after="0"/>
        <w:tabs>
          <w:tab w:leader="none" w:pos="320" w:val="left"/>
        </w:tabs>
        <w:numPr>
          <w:ilvl w:val="0"/>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Loan 102 has a payment-in-kind provision and accrues interest at 20%.</w:t>
      </w:r>
    </w:p>
    <w:p>
      <w:pPr>
        <w:spacing w:after="0" w:line="15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At September 30, 2026, our general CECL reserve for our outstanding loans and future loan funding commitments is $107.2 million, which is 3.32% of the aggregate commitment amount of our loan portfolio. This represents an increase of $7.5 million from $99.7 million or 3.27% of the aggregate commitment amount of our loan portfolio at June 30, 2026. The increase in our general CECL reserves was primarily driven by macroeconomic conditions, originations activity and other model inputs.</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Net Leased and Other Real Estate</w:t>
      </w:r>
    </w:p>
    <w:p>
      <w:pPr>
        <w:spacing w:after="0" w:line="14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have five direct investments in CRE with long-term leases to tenants on a net lease basis, where such tenants generally will be responsible for property operating expenses such as insurance, utilities, maintenance, capital expenditures and real estate taxes. Additionally, we have one other real estate investment through a joint venture with one partner. We also own four properties included in other real estate that were acquired through deeds-in-lieu of foreclosure and foreclosure and consolidated one property after being deemed the primary beneficiary of the variable interest entity holding it.</w:t>
      </w:r>
    </w:p>
    <w:p>
      <w:pPr>
        <w:spacing w:after="0" w:line="11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September 30, 2026, $444.5 million or 12.6% of our assets were invested in net leased and other real estate properties. The following table presents our net leased and other real estate investments as of September 30, 2026 (dollars in thousands):</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700" w:type="dxa"/>
            <w:vAlign w:val="bottom"/>
          </w:tcPr>
          <w:p>
            <w:pPr>
              <w:spacing w:after="0"/>
              <w:rPr>
                <w:sz w:val="13"/>
                <w:szCs w:val="13"/>
                <w:color w:val="auto"/>
              </w:rPr>
            </w:pPr>
          </w:p>
        </w:tc>
        <w:tc>
          <w:tcPr>
            <w:tcW w:w="1340" w:type="dxa"/>
            <w:vAlign w:val="bottom"/>
            <w:vMerge w:val="restart"/>
          </w:tcPr>
          <w:p>
            <w:pPr>
              <w:ind w:left="620"/>
              <w:spacing w:after="0"/>
              <w:rPr>
                <w:sz w:val="20"/>
                <w:szCs w:val="20"/>
                <w:color w:val="auto"/>
              </w:rPr>
            </w:pPr>
            <w:r>
              <w:rPr>
                <w:rFonts w:ascii="Times New Roman" w:cs="Times New Roman" w:eastAsia="Times New Roman" w:hAnsi="Times New Roman"/>
                <w:sz w:val="14"/>
                <w:szCs w:val="14"/>
                <w:b w:val="1"/>
                <w:bCs w:val="1"/>
                <w:color w:val="auto"/>
              </w:rPr>
              <w:t>Count</w:t>
            </w:r>
            <w:r>
              <w:rPr>
                <w:rFonts w:ascii="Times New Roman" w:cs="Times New Roman" w:eastAsia="Times New Roman" w:hAnsi="Times New Roman"/>
                <w:sz w:val="18"/>
                <w:szCs w:val="18"/>
                <w:b w:val="1"/>
                <w:bCs w:val="1"/>
                <w:color w:val="auto"/>
                <w:vertAlign w:val="superscript"/>
              </w:rPr>
              <w:t>(1)</w:t>
            </w: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520" w:type="dxa"/>
            <w:vAlign w:val="bottom"/>
            <w:vMerge w:val="restart"/>
          </w:tcPr>
          <w:p>
            <w:pPr>
              <w:jc w:val="right"/>
              <w:ind w:right="268"/>
              <w:spacing w:after="0"/>
              <w:rPr>
                <w:sz w:val="20"/>
                <w:szCs w:val="20"/>
                <w:color w:val="auto"/>
              </w:rPr>
            </w:pPr>
            <w:r>
              <w:rPr>
                <w:rFonts w:ascii="Times New Roman" w:cs="Times New Roman" w:eastAsia="Times New Roman" w:hAnsi="Times New Roman"/>
                <w:sz w:val="14"/>
                <w:szCs w:val="14"/>
                <w:b w:val="1"/>
                <w:bCs w:val="1"/>
                <w:color w:val="auto"/>
              </w:rPr>
              <w:t>Carrying Value</w:t>
            </w:r>
            <w:r>
              <w:rPr>
                <w:rFonts w:ascii="Times New Roman" w:cs="Times New Roman" w:eastAsia="Times New Roman" w:hAnsi="Times New Roman"/>
                <w:sz w:val="18"/>
                <w:szCs w:val="18"/>
                <w:b w:val="1"/>
                <w:bCs w:val="1"/>
                <w:color w:val="auto"/>
                <w:vertAlign w:val="superscript"/>
              </w:rPr>
              <w:t>(2)</w:t>
            </w:r>
          </w:p>
        </w:tc>
        <w:tc>
          <w:tcPr>
            <w:tcW w:w="100" w:type="dxa"/>
            <w:vAlign w:val="bottom"/>
            <w:vMerge w:val="restart"/>
          </w:tcPr>
          <w:p>
            <w:pPr>
              <w:spacing w:after="0"/>
              <w:rPr>
                <w:sz w:val="13"/>
                <w:szCs w:val="13"/>
                <w:color w:val="auto"/>
              </w:rPr>
            </w:pPr>
          </w:p>
        </w:tc>
        <w:tc>
          <w:tcPr>
            <w:tcW w:w="120" w:type="dxa"/>
            <w:vAlign w:val="bottom"/>
          </w:tcPr>
          <w:p>
            <w:pPr>
              <w:spacing w:after="0"/>
              <w:rPr>
                <w:sz w:val="13"/>
                <w:szCs w:val="13"/>
                <w:color w:val="auto"/>
              </w:rPr>
            </w:pPr>
          </w:p>
        </w:tc>
        <w:tc>
          <w:tcPr>
            <w:tcW w:w="1740" w:type="dxa"/>
            <w:vAlign w:val="bottom"/>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NOI for the three months</w:t>
            </w:r>
          </w:p>
        </w:tc>
        <w:tc>
          <w:tcPr>
            <w:tcW w:w="0" w:type="dxa"/>
            <w:vAlign w:val="bottom"/>
          </w:tcPr>
          <w:p>
            <w:pPr>
              <w:spacing w:after="0"/>
              <w:rPr>
                <w:sz w:val="1"/>
                <w:szCs w:val="1"/>
                <w:color w:val="auto"/>
              </w:rPr>
            </w:pPr>
          </w:p>
        </w:tc>
      </w:tr>
      <w:tr>
        <w:trPr>
          <w:trHeight w:val="203"/>
        </w:trPr>
        <w:tc>
          <w:tcPr>
            <w:tcW w:w="5700" w:type="dxa"/>
            <w:vAlign w:val="bottom"/>
            <w:tcBorders>
              <w:bottom w:val="single" w:sz="8" w:color="CCEEFF"/>
            </w:tcBorders>
          </w:tcPr>
          <w:p>
            <w:pPr>
              <w:spacing w:after="0"/>
              <w:rPr>
                <w:sz w:val="17"/>
                <w:szCs w:val="17"/>
                <w:color w:val="auto"/>
              </w:rPr>
            </w:pPr>
          </w:p>
        </w:tc>
        <w:tc>
          <w:tcPr>
            <w:tcW w:w="1340" w:type="dxa"/>
            <w:vAlign w:val="bottom"/>
            <w:tcBorders>
              <w:bottom w:val="single" w:sz="8" w:color="auto"/>
            </w:tcBorders>
            <w:vMerge w:val="continue"/>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520" w:type="dxa"/>
            <w:vAlign w:val="bottom"/>
            <w:tcBorders>
              <w:bottom w:val="single" w:sz="8" w:color="auto"/>
            </w:tcBorders>
            <w:vMerge w:val="continue"/>
          </w:tcPr>
          <w:p>
            <w:pPr>
              <w:spacing w:after="0"/>
              <w:rPr>
                <w:sz w:val="17"/>
                <w:szCs w:val="17"/>
                <w:color w:val="auto"/>
              </w:rPr>
            </w:pPr>
          </w:p>
        </w:tc>
        <w:tc>
          <w:tcPr>
            <w:tcW w:w="100" w:type="dxa"/>
            <w:vAlign w:val="bottom"/>
            <w:tcBorders>
              <w:bottom w:val="single" w:sz="8" w:color="CCEEFF"/>
            </w:tcBorders>
            <w:vMerge w:val="continue"/>
          </w:tcPr>
          <w:p>
            <w:pPr>
              <w:spacing w:after="0"/>
              <w:rPr>
                <w:sz w:val="17"/>
                <w:szCs w:val="17"/>
                <w:color w:val="auto"/>
              </w:rPr>
            </w:pPr>
          </w:p>
        </w:tc>
        <w:tc>
          <w:tcPr>
            <w:tcW w:w="1860" w:type="dxa"/>
            <w:vAlign w:val="bottom"/>
            <w:tcBorders>
              <w:bottom w:val="single" w:sz="8" w:color="auto"/>
            </w:tcBorders>
            <w:gridSpan w:val="2"/>
          </w:tcPr>
          <w:p>
            <w:pPr>
              <w:ind w:left="20"/>
              <w:spacing w:after="0" w:line="202" w:lineRule="exact"/>
              <w:rPr>
                <w:sz w:val="20"/>
                <w:szCs w:val="20"/>
                <w:color w:val="auto"/>
              </w:rPr>
            </w:pPr>
            <w:r>
              <w:rPr>
                <w:rFonts w:ascii="Times New Roman" w:cs="Times New Roman" w:eastAsia="Times New Roman" w:hAnsi="Times New Roman"/>
                <w:sz w:val="14"/>
                <w:szCs w:val="14"/>
                <w:b w:val="1"/>
                <w:bCs w:val="1"/>
                <w:color w:val="auto"/>
                <w:w w:val="98"/>
              </w:rPr>
              <w:t>ended September 30, 2026</w:t>
            </w:r>
            <w:r>
              <w:rPr>
                <w:rFonts w:ascii="Times New Roman" w:cs="Times New Roman" w:eastAsia="Times New Roman" w:hAnsi="Times New Roman"/>
                <w:sz w:val="18"/>
                <w:szCs w:val="18"/>
                <w:b w:val="1"/>
                <w:bCs w:val="1"/>
                <w:color w:val="auto"/>
                <w:w w:val="98"/>
                <w:vertAlign w:val="superscript"/>
              </w:rPr>
              <w:t>(3)(4)</w:t>
            </w:r>
          </w:p>
        </w:tc>
        <w:tc>
          <w:tcPr>
            <w:tcW w:w="0" w:type="dxa"/>
            <w:vAlign w:val="bottom"/>
          </w:tcPr>
          <w:p>
            <w:pPr>
              <w:spacing w:after="0"/>
              <w:rPr>
                <w:sz w:val="1"/>
                <w:szCs w:val="1"/>
                <w:color w:val="auto"/>
              </w:rPr>
            </w:pPr>
          </w:p>
        </w:tc>
      </w:tr>
      <w:tr>
        <w:trPr>
          <w:trHeight w:val="190"/>
        </w:trPr>
        <w:tc>
          <w:tcPr>
            <w:tcW w:w="70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leased real estate</w:t>
            </w:r>
          </w:p>
        </w:tc>
        <w:tc>
          <w:tcPr>
            <w:tcW w:w="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10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78,265</w:t>
            </w:r>
          </w:p>
        </w:tc>
        <w:tc>
          <w:tcPr>
            <w:tcW w:w="1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2,636</w:t>
            </w:r>
          </w:p>
        </w:tc>
        <w:tc>
          <w:tcPr>
            <w:tcW w:w="0" w:type="dxa"/>
            <w:vAlign w:val="bottom"/>
          </w:tcPr>
          <w:p>
            <w:pPr>
              <w:spacing w:after="0"/>
              <w:rPr>
                <w:sz w:val="1"/>
                <w:szCs w:val="1"/>
                <w:color w:val="auto"/>
              </w:rPr>
            </w:pPr>
          </w:p>
        </w:tc>
      </w:tr>
      <w:tr>
        <w:trPr>
          <w:trHeight w:val="193"/>
        </w:trPr>
        <w:tc>
          <w:tcPr>
            <w:tcW w:w="70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Other real estate</w:t>
            </w:r>
          </w:p>
        </w:tc>
        <w:tc>
          <w:tcPr>
            <w:tcW w:w="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366,270</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4,279</w:t>
            </w:r>
          </w:p>
        </w:tc>
        <w:tc>
          <w:tcPr>
            <w:tcW w:w="0" w:type="dxa"/>
            <w:vAlign w:val="bottom"/>
          </w:tcPr>
          <w:p>
            <w:pPr>
              <w:spacing w:after="0"/>
              <w:rPr>
                <w:sz w:val="1"/>
                <w:szCs w:val="1"/>
                <w:color w:val="auto"/>
              </w:rPr>
            </w:pPr>
          </w:p>
        </w:tc>
      </w:tr>
      <w:tr>
        <w:trPr>
          <w:trHeight w:val="23"/>
        </w:trPr>
        <w:tc>
          <w:tcPr>
            <w:tcW w:w="5700" w:type="dxa"/>
            <w:vAlign w:val="bottom"/>
            <w:tcBorders>
              <w:bottom w:val="single" w:sz="8" w:color="CCEEFF"/>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70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Total/Weighted average net leased and other real estate</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444,535</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6,915</w:t>
            </w:r>
          </w:p>
        </w:tc>
        <w:tc>
          <w:tcPr>
            <w:tcW w:w="0" w:type="dxa"/>
            <w:vAlign w:val="bottom"/>
          </w:tcPr>
          <w:p>
            <w:pPr>
              <w:spacing w:after="0"/>
              <w:rPr>
                <w:sz w:val="1"/>
                <w:szCs w:val="1"/>
                <w:color w:val="auto"/>
              </w:rPr>
            </w:pPr>
          </w:p>
        </w:tc>
      </w:tr>
      <w:tr>
        <w:trPr>
          <w:trHeight w:val="20"/>
        </w:trPr>
        <w:tc>
          <w:tcPr>
            <w:tcW w:w="570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4"/>
                <w:szCs w:val="14"/>
                <w:color w:val="auto"/>
              </w:rPr>
              <w:t>________________________________________</w:t>
            </w:r>
          </w:p>
        </w:tc>
        <w:tc>
          <w:tcPr>
            <w:tcW w:w="13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7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5700" w:type="dxa"/>
            <w:vAlign w:val="bottom"/>
            <w:vMerge w:val="continue"/>
          </w:tcPr>
          <w:p>
            <w:pPr>
              <w:spacing w:after="0"/>
              <w:rPr>
                <w:sz w:val="19"/>
                <w:szCs w:val="19"/>
                <w:color w:val="auto"/>
              </w:rPr>
            </w:pPr>
          </w:p>
        </w:tc>
        <w:tc>
          <w:tcPr>
            <w:tcW w:w="13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bl>
    <w:p>
      <w:pPr>
        <w:ind w:left="320" w:hanging="312"/>
        <w:spacing w:after="0"/>
        <w:tabs>
          <w:tab w:leader="none" w:pos="320" w:val="left"/>
        </w:tabs>
        <w:numPr>
          <w:ilvl w:val="0"/>
          <w:numId w:val="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Count represents the number of investments.</w:t>
      </w:r>
    </w:p>
    <w:p>
      <w:pPr>
        <w:spacing w:after="0" w:line="14" w:lineRule="exact"/>
        <w:rPr>
          <w:rFonts w:ascii="Times New Roman" w:cs="Times New Roman" w:eastAsia="Times New Roman" w:hAnsi="Times New Roman"/>
          <w:sz w:val="14"/>
          <w:szCs w:val="14"/>
          <w:color w:val="auto"/>
        </w:rPr>
      </w:pPr>
    </w:p>
    <w:p>
      <w:pPr>
        <w:ind w:left="320" w:hanging="312"/>
        <w:spacing w:after="0"/>
        <w:tabs>
          <w:tab w:leader="none" w:pos="320" w:val="left"/>
        </w:tabs>
        <w:numPr>
          <w:ilvl w:val="0"/>
          <w:numId w:val="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carrying values at our share as of September 30, 2026; includes real estate tangible assets, deferred leasing costs and other intangible assets.</w:t>
      </w:r>
    </w:p>
    <w:p>
      <w:pPr>
        <w:spacing w:after="0" w:line="14" w:lineRule="exact"/>
        <w:rPr>
          <w:rFonts w:ascii="Times New Roman" w:cs="Times New Roman" w:eastAsia="Times New Roman" w:hAnsi="Times New Roman"/>
          <w:sz w:val="14"/>
          <w:szCs w:val="14"/>
          <w:color w:val="auto"/>
        </w:rPr>
      </w:pPr>
    </w:p>
    <w:p>
      <w:pPr>
        <w:ind w:left="320" w:hanging="312"/>
        <w:spacing w:after="0"/>
        <w:tabs>
          <w:tab w:leader="none" w:pos="320" w:val="left"/>
        </w:tabs>
        <w:numPr>
          <w:ilvl w:val="0"/>
          <w:numId w:val="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Refer to “Non-GAAP Supplemental Financial Measures” for further information on NOI.</w:t>
      </w:r>
    </w:p>
    <w:p>
      <w:pPr>
        <w:spacing w:after="0" w:line="4" w:lineRule="exact"/>
        <w:rPr>
          <w:rFonts w:ascii="Times New Roman" w:cs="Times New Roman" w:eastAsia="Times New Roman" w:hAnsi="Times New Roman"/>
          <w:sz w:val="14"/>
          <w:szCs w:val="14"/>
          <w:color w:val="auto"/>
        </w:rPr>
      </w:pPr>
    </w:p>
    <w:p>
      <w:pPr>
        <w:ind w:left="320" w:hanging="312"/>
        <w:spacing w:after="0"/>
        <w:tabs>
          <w:tab w:leader="none" w:pos="320" w:val="left"/>
        </w:tabs>
        <w:numPr>
          <w:ilvl w:val="0"/>
          <w:numId w:val="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Excludes $4.6 million of NOI related to an industrial portfolio and multifamily property sold during the third quarter of 2026.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provides asset-level detail of our net leased and other real estate as of September 30, 2026:</w:t>
      </w:r>
    </w:p>
    <w:p>
      <w:pPr>
        <w:spacing w:after="0" w:line="4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8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Rentable square</w:t>
            </w:r>
          </w:p>
        </w:tc>
        <w:tc>
          <w:tcPr>
            <w:tcW w:w="90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9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1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vMerge w:val="restart"/>
          </w:tcPr>
          <w:p>
            <w:pPr>
              <w:jc w:val="center"/>
              <w:ind w:right="28"/>
              <w:spacing w:after="0"/>
              <w:rPr>
                <w:sz w:val="20"/>
                <w:szCs w:val="20"/>
                <w:color w:val="auto"/>
              </w:rPr>
            </w:pPr>
            <w:r>
              <w:rPr>
                <w:rFonts w:ascii="Times New Roman" w:cs="Times New Roman" w:eastAsia="Times New Roman" w:hAnsi="Times New Roman"/>
                <w:sz w:val="14"/>
                <w:szCs w:val="14"/>
                <w:b w:val="1"/>
                <w:bCs w:val="1"/>
                <w:color w:val="auto"/>
              </w:rPr>
              <w:t>Principal</w:t>
            </w:r>
          </w:p>
        </w:tc>
        <w:tc>
          <w:tcPr>
            <w:tcW w:w="100" w:type="dxa"/>
            <w:vAlign w:val="bottom"/>
          </w:tcPr>
          <w:p>
            <w:pPr>
              <w:spacing w:after="0"/>
              <w:rPr>
                <w:sz w:val="13"/>
                <w:szCs w:val="13"/>
                <w:color w:val="auto"/>
              </w:rPr>
            </w:pPr>
          </w:p>
        </w:tc>
        <w:tc>
          <w:tcPr>
            <w:tcW w:w="8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Final debt</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00" w:type="dxa"/>
            <w:vAlign w:val="bottom"/>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92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w w:val="98"/>
              </w:rPr>
              <w:t>average</w:t>
            </w:r>
          </w:p>
        </w:tc>
        <w:tc>
          <w:tcPr>
            <w:tcW w:w="1300" w:type="dxa"/>
            <w:vAlign w:val="bottom"/>
            <w:gridSpan w:val="3"/>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Undepreciated net</w:t>
            </w:r>
          </w:p>
        </w:tc>
        <w:tc>
          <w:tcPr>
            <w:tcW w:w="160" w:type="dxa"/>
            <w:vAlign w:val="bottom"/>
          </w:tcPr>
          <w:p>
            <w:pPr>
              <w:spacing w:after="0"/>
              <w:rPr>
                <w:sz w:val="12"/>
                <w:szCs w:val="12"/>
                <w:color w:val="auto"/>
              </w:rPr>
            </w:pPr>
          </w:p>
        </w:tc>
        <w:tc>
          <w:tcPr>
            <w:tcW w:w="86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SL Rent</w:t>
            </w:r>
          </w:p>
        </w:tc>
        <w:tc>
          <w:tcPr>
            <w:tcW w:w="100" w:type="dxa"/>
            <w:vAlign w:val="bottom"/>
          </w:tcPr>
          <w:p>
            <w:pPr>
              <w:spacing w:after="0"/>
              <w:rPr>
                <w:sz w:val="12"/>
                <w:szCs w:val="12"/>
                <w:color w:val="auto"/>
              </w:rPr>
            </w:pPr>
          </w:p>
        </w:tc>
        <w:tc>
          <w:tcPr>
            <w:tcW w:w="72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0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Collateral type</w:t>
            </w:r>
          </w:p>
        </w:tc>
        <w:tc>
          <w:tcPr>
            <w:tcW w:w="1080" w:type="dxa"/>
            <w:vAlign w:val="bottom"/>
            <w:gridSpan w:val="2"/>
            <w:vMerge w:val="restart"/>
          </w:tcPr>
          <w:p>
            <w:pPr>
              <w:ind w:left="180"/>
              <w:spacing w:after="0"/>
              <w:rPr>
                <w:sz w:val="20"/>
                <w:szCs w:val="20"/>
                <w:color w:val="auto"/>
              </w:rPr>
            </w:pPr>
            <w:r>
              <w:rPr>
                <w:rFonts w:ascii="Times New Roman" w:cs="Times New Roman" w:eastAsia="Times New Roman" w:hAnsi="Times New Roman"/>
                <w:sz w:val="14"/>
                <w:szCs w:val="14"/>
                <w:b w:val="1"/>
                <w:bCs w:val="1"/>
                <w:color w:val="auto"/>
              </w:rPr>
              <w:t>City, State</w:t>
            </w:r>
          </w:p>
        </w:tc>
        <w:tc>
          <w:tcPr>
            <w:tcW w:w="88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feet (“RSF”) /</w:t>
            </w:r>
          </w:p>
        </w:tc>
        <w:tc>
          <w:tcPr>
            <w:tcW w:w="90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average %</w:t>
            </w:r>
          </w:p>
        </w:tc>
        <w:tc>
          <w:tcPr>
            <w:tcW w:w="92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lease term</w:t>
            </w:r>
          </w:p>
        </w:tc>
        <w:tc>
          <w:tcPr>
            <w:tcW w:w="1300" w:type="dxa"/>
            <w:vAlign w:val="bottom"/>
            <w:gridSpan w:val="3"/>
            <w:vMerge w:val="continue"/>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jc w:val="center"/>
              <w:ind w:right="28"/>
              <w:spacing w:after="0" w:line="149" w:lineRule="exact"/>
              <w:rPr>
                <w:sz w:val="20"/>
                <w:szCs w:val="20"/>
                <w:color w:val="auto"/>
              </w:rPr>
            </w:pPr>
            <w:r>
              <w:rPr>
                <w:rFonts w:ascii="Times New Roman" w:cs="Times New Roman" w:eastAsia="Times New Roman" w:hAnsi="Times New Roman"/>
                <w:sz w:val="14"/>
                <w:szCs w:val="14"/>
                <w:b w:val="1"/>
                <w:bCs w:val="1"/>
                <w:color w:val="auto"/>
              </w:rPr>
              <w:t>amount of</w:t>
            </w:r>
          </w:p>
        </w:tc>
        <w:tc>
          <w:tcPr>
            <w:tcW w:w="100" w:type="dxa"/>
            <w:vAlign w:val="bottom"/>
          </w:tcPr>
          <w:p>
            <w:pPr>
              <w:spacing w:after="0"/>
              <w:rPr>
                <w:sz w:val="12"/>
                <w:szCs w:val="12"/>
                <w:color w:val="auto"/>
              </w:rPr>
            </w:pPr>
          </w:p>
        </w:tc>
        <w:tc>
          <w:tcPr>
            <w:tcW w:w="8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maturity</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00" w:type="dxa"/>
            <w:vAlign w:val="bottom"/>
            <w:gridSpan w:val="2"/>
            <w:vMerge w:val="continue"/>
          </w:tcPr>
          <w:p>
            <w:pPr>
              <w:spacing w:after="0"/>
              <w:rPr>
                <w:sz w:val="17"/>
                <w:szCs w:val="17"/>
                <w:color w:val="auto"/>
              </w:rPr>
            </w:pPr>
          </w:p>
        </w:tc>
        <w:tc>
          <w:tcPr>
            <w:tcW w:w="1080" w:type="dxa"/>
            <w:vAlign w:val="bottom"/>
            <w:gridSpan w:val="2"/>
            <w:vMerge w:val="continue"/>
          </w:tcPr>
          <w:p>
            <w:pPr>
              <w:spacing w:after="0"/>
              <w:rPr>
                <w:sz w:val="17"/>
                <w:szCs w:val="17"/>
                <w:color w:val="auto"/>
              </w:rPr>
            </w:pPr>
          </w:p>
        </w:tc>
        <w:tc>
          <w:tcPr>
            <w:tcW w:w="880" w:type="dxa"/>
            <w:vAlign w:val="bottom"/>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properties</w:t>
            </w:r>
          </w:p>
        </w:tc>
        <w:tc>
          <w:tcPr>
            <w:tcW w:w="100" w:type="dxa"/>
            <w:vAlign w:val="bottom"/>
          </w:tcPr>
          <w:p>
            <w:pPr>
              <w:spacing w:after="0"/>
              <w:rPr>
                <w:sz w:val="17"/>
                <w:szCs w:val="17"/>
                <w:color w:val="auto"/>
              </w:rPr>
            </w:pPr>
          </w:p>
        </w:tc>
        <w:tc>
          <w:tcPr>
            <w:tcW w:w="1180" w:type="dxa"/>
            <w:vAlign w:val="bottom"/>
            <w:gridSpan w:val="2"/>
          </w:tcPr>
          <w:p>
            <w:pPr>
              <w:jc w:val="center"/>
              <w:ind w:right="100"/>
              <w:spacing w:after="0" w:line="202" w:lineRule="exact"/>
              <w:rPr>
                <w:sz w:val="20"/>
                <w:szCs w:val="20"/>
                <w:color w:val="auto"/>
              </w:rPr>
            </w:pPr>
            <w:r>
              <w:rPr>
                <w:rFonts w:ascii="Times New Roman" w:cs="Times New Roman" w:eastAsia="Times New Roman" w:hAnsi="Times New Roman"/>
                <w:sz w:val="14"/>
                <w:szCs w:val="14"/>
                <w:b w:val="1"/>
                <w:bCs w:val="1"/>
                <w:color w:val="auto"/>
                <w:w w:val="97"/>
              </w:rPr>
              <w:t>units/keys</w:t>
            </w:r>
            <w:r>
              <w:rPr>
                <w:rFonts w:ascii="Times New Roman" w:cs="Times New Roman" w:eastAsia="Times New Roman" w:hAnsi="Times New Roman"/>
                <w:sz w:val="18"/>
                <w:szCs w:val="18"/>
                <w:b w:val="1"/>
                <w:bCs w:val="1"/>
                <w:color w:val="auto"/>
                <w:w w:val="97"/>
                <w:vertAlign w:val="superscript"/>
              </w:rPr>
              <w:t>(1)</w:t>
            </w:r>
          </w:p>
        </w:tc>
        <w:tc>
          <w:tcPr>
            <w:tcW w:w="900" w:type="dxa"/>
            <w:vAlign w:val="bottom"/>
            <w:gridSpan w:val="2"/>
          </w:tcPr>
          <w:p>
            <w:pPr>
              <w:jc w:val="center"/>
              <w:ind w:right="100"/>
              <w:spacing w:after="0" w:line="202" w:lineRule="exact"/>
              <w:rPr>
                <w:sz w:val="20"/>
                <w:szCs w:val="20"/>
                <w:color w:val="auto"/>
              </w:rPr>
            </w:pPr>
            <w:r>
              <w:rPr>
                <w:rFonts w:ascii="Times New Roman" w:cs="Times New Roman" w:eastAsia="Times New Roman" w:hAnsi="Times New Roman"/>
                <w:sz w:val="14"/>
                <w:szCs w:val="14"/>
                <w:b w:val="1"/>
                <w:bCs w:val="1"/>
                <w:color w:val="auto"/>
                <w:w w:val="94"/>
              </w:rPr>
              <w:t>leased</w:t>
            </w:r>
            <w:r>
              <w:rPr>
                <w:rFonts w:ascii="Times New Roman" w:cs="Times New Roman" w:eastAsia="Times New Roman" w:hAnsi="Times New Roman"/>
                <w:sz w:val="18"/>
                <w:szCs w:val="18"/>
                <w:b w:val="1"/>
                <w:bCs w:val="1"/>
                <w:color w:val="auto"/>
                <w:w w:val="94"/>
                <w:vertAlign w:val="superscript"/>
              </w:rPr>
              <w:t>(2)</w:t>
            </w:r>
          </w:p>
        </w:tc>
        <w:tc>
          <w:tcPr>
            <w:tcW w:w="920" w:type="dxa"/>
            <w:vAlign w:val="bottom"/>
            <w:gridSpan w:val="2"/>
          </w:tcPr>
          <w:p>
            <w:pPr>
              <w:jc w:val="center"/>
              <w:ind w:right="100"/>
              <w:spacing w:after="0" w:line="202" w:lineRule="exact"/>
              <w:rPr>
                <w:sz w:val="20"/>
                <w:szCs w:val="20"/>
                <w:color w:val="auto"/>
              </w:rPr>
            </w:pPr>
            <w:r>
              <w:rPr>
                <w:rFonts w:ascii="Times New Roman" w:cs="Times New Roman" w:eastAsia="Times New Roman" w:hAnsi="Times New Roman"/>
                <w:sz w:val="14"/>
                <w:szCs w:val="14"/>
                <w:b w:val="1"/>
                <w:bCs w:val="1"/>
                <w:color w:val="auto"/>
                <w:w w:val="90"/>
              </w:rPr>
              <w:t>(yrs)</w:t>
            </w:r>
            <w:r>
              <w:rPr>
                <w:rFonts w:ascii="Times New Roman" w:cs="Times New Roman" w:eastAsia="Times New Roman" w:hAnsi="Times New Roman"/>
                <w:sz w:val="18"/>
                <w:szCs w:val="18"/>
                <w:b w:val="1"/>
                <w:bCs w:val="1"/>
                <w:color w:val="auto"/>
                <w:w w:val="90"/>
                <w:vertAlign w:val="superscript"/>
              </w:rPr>
              <w:t>(3)</w:t>
            </w:r>
          </w:p>
        </w:tc>
        <w:tc>
          <w:tcPr>
            <w:tcW w:w="160" w:type="dxa"/>
            <w:vAlign w:val="bottom"/>
          </w:tcPr>
          <w:p>
            <w:pPr>
              <w:spacing w:after="0"/>
              <w:rPr>
                <w:sz w:val="17"/>
                <w:szCs w:val="17"/>
                <w:color w:val="auto"/>
              </w:rPr>
            </w:pPr>
          </w:p>
        </w:tc>
        <w:tc>
          <w:tcPr>
            <w:tcW w:w="11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book value</w:t>
            </w:r>
            <w:r>
              <w:rPr>
                <w:rFonts w:ascii="Times New Roman" w:cs="Times New Roman" w:eastAsia="Times New Roman" w:hAnsi="Times New Roman"/>
                <w:sz w:val="9"/>
                <w:szCs w:val="9"/>
                <w:b w:val="1"/>
                <w:bCs w:val="1"/>
                <w:color w:val="auto"/>
              </w:rPr>
              <w:t>(4)</w:t>
            </w:r>
          </w:p>
        </w:tc>
        <w:tc>
          <w:tcPr>
            <w:tcW w:w="102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 xml:space="preserve">Receivable </w:t>
            </w:r>
            <w:r>
              <w:rPr>
                <w:rFonts w:ascii="Times New Roman" w:cs="Times New Roman" w:eastAsia="Times New Roman" w:hAnsi="Times New Roman"/>
                <w:sz w:val="9"/>
                <w:szCs w:val="9"/>
                <w:b w:val="1"/>
                <w:bCs w:val="1"/>
                <w:color w:val="auto"/>
              </w:rPr>
              <w:t>(5)</w:t>
            </w:r>
          </w:p>
        </w:tc>
        <w:tc>
          <w:tcPr>
            <w:tcW w:w="100" w:type="dxa"/>
            <w:vAlign w:val="bottom"/>
          </w:tcPr>
          <w:p>
            <w:pPr>
              <w:spacing w:after="0"/>
              <w:rPr>
                <w:sz w:val="17"/>
                <w:szCs w:val="17"/>
                <w:color w:val="auto"/>
              </w:rPr>
            </w:pPr>
          </w:p>
        </w:tc>
        <w:tc>
          <w:tcPr>
            <w:tcW w:w="720" w:type="dxa"/>
            <w:vAlign w:val="bottom"/>
          </w:tcPr>
          <w:p>
            <w:pPr>
              <w:jc w:val="center"/>
              <w:ind w:right="28"/>
              <w:spacing w:after="0" w:line="202" w:lineRule="exact"/>
              <w:rPr>
                <w:sz w:val="20"/>
                <w:szCs w:val="20"/>
                <w:color w:val="auto"/>
              </w:rPr>
            </w:pPr>
            <w:r>
              <w:rPr>
                <w:rFonts w:ascii="Times New Roman" w:cs="Times New Roman" w:eastAsia="Times New Roman" w:hAnsi="Times New Roman"/>
                <w:sz w:val="14"/>
                <w:szCs w:val="14"/>
                <w:b w:val="1"/>
                <w:bCs w:val="1"/>
                <w:color w:val="auto"/>
                <w:w w:val="93"/>
              </w:rPr>
              <w:t>debt</w:t>
            </w:r>
            <w:r>
              <w:rPr>
                <w:rFonts w:ascii="Times New Roman" w:cs="Times New Roman" w:eastAsia="Times New Roman" w:hAnsi="Times New Roman"/>
                <w:sz w:val="18"/>
                <w:szCs w:val="18"/>
                <w:b w:val="1"/>
                <w:bCs w:val="1"/>
                <w:color w:val="auto"/>
                <w:w w:val="93"/>
                <w:vertAlign w:val="superscript"/>
              </w:rPr>
              <w:t>(6)</w:t>
            </w:r>
          </w:p>
        </w:tc>
        <w:tc>
          <w:tcPr>
            <w:tcW w:w="100" w:type="dxa"/>
            <w:vAlign w:val="bottom"/>
          </w:tcPr>
          <w:p>
            <w:pPr>
              <w:spacing w:after="0"/>
              <w:rPr>
                <w:sz w:val="17"/>
                <w:szCs w:val="17"/>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date</w:t>
            </w:r>
          </w:p>
        </w:tc>
        <w:tc>
          <w:tcPr>
            <w:tcW w:w="0" w:type="dxa"/>
            <w:vAlign w:val="bottom"/>
          </w:tcPr>
          <w:p>
            <w:pPr>
              <w:spacing w:after="0"/>
              <w:rPr>
                <w:sz w:val="1"/>
                <w:szCs w:val="1"/>
                <w:color w:val="auto"/>
              </w:rPr>
            </w:pPr>
          </w:p>
        </w:tc>
      </w:tr>
      <w:tr>
        <w:trPr>
          <w:trHeight w:val="142"/>
        </w:trPr>
        <w:tc>
          <w:tcPr>
            <w:tcW w:w="20" w:type="dxa"/>
            <w:vAlign w:val="bottom"/>
            <w:tcBorders>
              <w:top w:val="single" w:sz="8" w:color="CCEEFF"/>
            </w:tcBorders>
            <w:shd w:val="clear" w:color="auto" w:fill="CCEEFF"/>
          </w:tcPr>
          <w:p>
            <w:pPr>
              <w:spacing w:after="0"/>
              <w:rPr>
                <w:sz w:val="12"/>
                <w:szCs w:val="12"/>
                <w:color w:val="auto"/>
              </w:rPr>
            </w:pPr>
          </w:p>
        </w:tc>
        <w:tc>
          <w:tcPr>
            <w:tcW w:w="960" w:type="dxa"/>
            <w:vAlign w:val="bottom"/>
            <w:tcBorders>
              <w:top w:val="single" w:sz="8" w:color="CCEEFF"/>
            </w:tcBorders>
            <w:gridSpan w:val="4"/>
            <w:shd w:val="clear" w:color="auto" w:fill="CCEEFF"/>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Net leased</w:t>
            </w:r>
          </w:p>
        </w:tc>
        <w:tc>
          <w:tcPr>
            <w:tcW w:w="102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100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88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08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80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82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rPr>
                <w:sz w:val="12"/>
                <w:szCs w:val="12"/>
                <w:color w:val="auto"/>
              </w:rPr>
            </w:pPr>
          </w:p>
        </w:tc>
        <w:tc>
          <w:tcPr>
            <w:tcW w:w="106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rPr>
                <w:sz w:val="12"/>
                <w:szCs w:val="12"/>
                <w:color w:val="auto"/>
              </w:rPr>
            </w:pPr>
          </w:p>
        </w:tc>
        <w:tc>
          <w:tcPr>
            <w:tcW w:w="76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72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860" w:type="dxa"/>
            <w:vAlign w:val="bottom"/>
            <w:tcBorders>
              <w:top w:val="single" w:sz="8" w:color="auto"/>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4"/>
        </w:trPr>
        <w:tc>
          <w:tcPr>
            <w:tcW w:w="20" w:type="dxa"/>
            <w:vAlign w:val="bottom"/>
            <w:tcBorders>
              <w:top w:val="single" w:sz="8" w:color="CCEEFF"/>
              <w:bottom w:val="single" w:sz="8" w:color="CCEEFF"/>
            </w:tcBorders>
            <w:shd w:val="clear" w:color="auto" w:fill="CCEEFF"/>
          </w:tcPr>
          <w:p>
            <w:pPr>
              <w:spacing w:after="0"/>
              <w:rPr>
                <w:sz w:val="12"/>
                <w:szCs w:val="12"/>
                <w:color w:val="auto"/>
              </w:rPr>
            </w:pPr>
          </w:p>
        </w:tc>
        <w:tc>
          <w:tcPr>
            <w:tcW w:w="640" w:type="dxa"/>
            <w:vAlign w:val="bottom"/>
            <w:tcBorders>
              <w:top w:val="single" w:sz="8" w:color="auto"/>
              <w:bottom w:val="single" w:sz="8" w:color="auto"/>
            </w:tcBorders>
            <w:gridSpan w:val="2"/>
            <w:shd w:val="clear" w:color="auto" w:fill="CCEEFF"/>
          </w:tcPr>
          <w:p>
            <w:pPr>
              <w:spacing w:after="0" w:line="115" w:lineRule="exact"/>
              <w:rPr>
                <w:sz w:val="20"/>
                <w:szCs w:val="20"/>
                <w:color w:val="auto"/>
              </w:rPr>
            </w:pPr>
            <w:r>
              <w:rPr>
                <w:rFonts w:ascii="Times New Roman" w:cs="Times New Roman" w:eastAsia="Times New Roman" w:hAnsi="Times New Roman"/>
                <w:sz w:val="13"/>
                <w:szCs w:val="13"/>
                <w:b w:val="1"/>
                <w:bCs w:val="1"/>
                <w:color w:val="auto"/>
              </w:rPr>
              <w:t>real estate</w:t>
            </w:r>
          </w:p>
        </w:tc>
        <w:tc>
          <w:tcPr>
            <w:tcW w:w="20" w:type="dxa"/>
            <w:vAlign w:val="bottom"/>
            <w:tcBorders>
              <w:top w:val="single" w:sz="8" w:color="CCEEFF"/>
              <w:bottom w:val="single" w:sz="8" w:color="CCEEFF"/>
            </w:tcBorders>
            <w:shd w:val="clear" w:color="auto" w:fill="CCEEFF"/>
          </w:tcPr>
          <w:p>
            <w:pPr>
              <w:spacing w:after="0"/>
              <w:rPr>
                <w:sz w:val="12"/>
                <w:szCs w:val="12"/>
                <w:color w:val="auto"/>
              </w:rPr>
            </w:pPr>
          </w:p>
        </w:tc>
        <w:tc>
          <w:tcPr>
            <w:tcW w:w="300" w:type="dxa"/>
            <w:vAlign w:val="bottom"/>
            <w:tcBorders>
              <w:top w:val="single" w:sz="8" w:color="CCEEFF"/>
              <w:bottom w:val="single" w:sz="8" w:color="CCEEFF"/>
            </w:tcBorders>
            <w:shd w:val="clear" w:color="auto" w:fill="CCEEFF"/>
          </w:tcPr>
          <w:p>
            <w:pPr>
              <w:spacing w:after="0"/>
              <w:rPr>
                <w:sz w:val="12"/>
                <w:szCs w:val="12"/>
                <w:color w:val="auto"/>
              </w:rPr>
            </w:pPr>
          </w:p>
        </w:tc>
        <w:tc>
          <w:tcPr>
            <w:tcW w:w="1020" w:type="dxa"/>
            <w:vAlign w:val="bottom"/>
            <w:tcBorders>
              <w:top w:val="single" w:sz="8" w:color="CCEEFF"/>
              <w:bottom w:val="single" w:sz="8" w:color="CCEEFF"/>
            </w:tcBorders>
            <w:shd w:val="clear" w:color="auto" w:fill="CCEEFF"/>
          </w:tcPr>
          <w:p>
            <w:pPr>
              <w:spacing w:after="0"/>
              <w:rPr>
                <w:sz w:val="12"/>
                <w:szCs w:val="12"/>
                <w:color w:val="auto"/>
              </w:rPr>
            </w:pPr>
          </w:p>
        </w:tc>
        <w:tc>
          <w:tcPr>
            <w:tcW w:w="80" w:type="dxa"/>
            <w:vAlign w:val="bottom"/>
            <w:tcBorders>
              <w:top w:val="single" w:sz="8" w:color="CCEEFF"/>
              <w:bottom w:val="single" w:sz="8" w:color="CCEEFF"/>
            </w:tcBorders>
            <w:shd w:val="clear" w:color="auto" w:fill="CCEEFF"/>
          </w:tcPr>
          <w:p>
            <w:pPr>
              <w:spacing w:after="0"/>
              <w:rPr>
                <w:sz w:val="12"/>
                <w:szCs w:val="12"/>
                <w:color w:val="auto"/>
              </w:rPr>
            </w:pPr>
          </w:p>
        </w:tc>
        <w:tc>
          <w:tcPr>
            <w:tcW w:w="1000" w:type="dxa"/>
            <w:vAlign w:val="bottom"/>
            <w:tcBorders>
              <w:top w:val="single" w:sz="8" w:color="CCEEFF"/>
              <w:bottom w:val="single" w:sz="8" w:color="CCEEFF"/>
            </w:tcBorders>
            <w:shd w:val="clear" w:color="auto" w:fill="CCEEFF"/>
          </w:tcPr>
          <w:p>
            <w:pPr>
              <w:spacing w:after="0"/>
              <w:rPr>
                <w:sz w:val="12"/>
                <w:szCs w:val="12"/>
                <w:color w:val="auto"/>
              </w:rPr>
            </w:pPr>
          </w:p>
        </w:tc>
        <w:tc>
          <w:tcPr>
            <w:tcW w:w="80" w:type="dxa"/>
            <w:vAlign w:val="bottom"/>
            <w:tcBorders>
              <w:top w:val="single" w:sz="8" w:color="CCEEFF"/>
              <w:bottom w:val="single" w:sz="8" w:color="CCEEFF"/>
            </w:tcBorders>
            <w:shd w:val="clear" w:color="auto" w:fill="CCEEFF"/>
          </w:tcPr>
          <w:p>
            <w:pPr>
              <w:spacing w:after="0"/>
              <w:rPr>
                <w:sz w:val="12"/>
                <w:szCs w:val="12"/>
                <w:color w:val="auto"/>
              </w:rPr>
            </w:pPr>
          </w:p>
        </w:tc>
        <w:tc>
          <w:tcPr>
            <w:tcW w:w="880" w:type="dxa"/>
            <w:vAlign w:val="bottom"/>
            <w:tcBorders>
              <w:top w:val="single" w:sz="8" w:color="CCEEFF"/>
              <w:bottom w:val="single" w:sz="8" w:color="CCEEFF"/>
            </w:tcBorders>
            <w:shd w:val="clear" w:color="auto" w:fill="CCEEFF"/>
          </w:tcPr>
          <w:p>
            <w:pPr>
              <w:spacing w:after="0"/>
              <w:rPr>
                <w:sz w:val="12"/>
                <w:szCs w:val="12"/>
                <w:color w:val="auto"/>
              </w:rPr>
            </w:pPr>
          </w:p>
        </w:tc>
        <w:tc>
          <w:tcPr>
            <w:tcW w:w="100" w:type="dxa"/>
            <w:vAlign w:val="bottom"/>
            <w:tcBorders>
              <w:top w:val="single" w:sz="8" w:color="CCEEFF"/>
              <w:bottom w:val="single" w:sz="8" w:color="CCEEFF"/>
            </w:tcBorders>
            <w:shd w:val="clear" w:color="auto" w:fill="CCEEFF"/>
          </w:tcPr>
          <w:p>
            <w:pPr>
              <w:spacing w:after="0"/>
              <w:rPr>
                <w:sz w:val="12"/>
                <w:szCs w:val="12"/>
                <w:color w:val="auto"/>
              </w:rPr>
            </w:pPr>
          </w:p>
        </w:tc>
        <w:tc>
          <w:tcPr>
            <w:tcW w:w="1080" w:type="dxa"/>
            <w:vAlign w:val="bottom"/>
            <w:tcBorders>
              <w:top w:val="single" w:sz="8" w:color="CCEEFF"/>
              <w:bottom w:val="single" w:sz="8" w:color="CCEEFF"/>
            </w:tcBorders>
            <w:shd w:val="clear" w:color="auto" w:fill="CCEEFF"/>
          </w:tcPr>
          <w:p>
            <w:pPr>
              <w:spacing w:after="0"/>
              <w:rPr>
                <w:sz w:val="12"/>
                <w:szCs w:val="12"/>
                <w:color w:val="auto"/>
              </w:rPr>
            </w:pPr>
          </w:p>
        </w:tc>
        <w:tc>
          <w:tcPr>
            <w:tcW w:w="100" w:type="dxa"/>
            <w:vAlign w:val="bottom"/>
            <w:tcBorders>
              <w:top w:val="single" w:sz="8" w:color="CCEEFF"/>
              <w:bottom w:val="single" w:sz="8" w:color="CCEEFF"/>
            </w:tcBorders>
            <w:shd w:val="clear" w:color="auto" w:fill="CCEEFF"/>
          </w:tcPr>
          <w:p>
            <w:pPr>
              <w:spacing w:after="0"/>
              <w:rPr>
                <w:sz w:val="12"/>
                <w:szCs w:val="12"/>
                <w:color w:val="auto"/>
              </w:rPr>
            </w:pPr>
          </w:p>
        </w:tc>
        <w:tc>
          <w:tcPr>
            <w:tcW w:w="800" w:type="dxa"/>
            <w:vAlign w:val="bottom"/>
            <w:tcBorders>
              <w:top w:val="single" w:sz="8" w:color="CCEEFF"/>
              <w:bottom w:val="single" w:sz="8" w:color="CCEEFF"/>
            </w:tcBorders>
            <w:shd w:val="clear" w:color="auto" w:fill="CCEEFF"/>
          </w:tcPr>
          <w:p>
            <w:pPr>
              <w:spacing w:after="0"/>
              <w:rPr>
                <w:sz w:val="12"/>
                <w:szCs w:val="12"/>
                <w:color w:val="auto"/>
              </w:rPr>
            </w:pPr>
          </w:p>
        </w:tc>
        <w:tc>
          <w:tcPr>
            <w:tcW w:w="100" w:type="dxa"/>
            <w:vAlign w:val="bottom"/>
            <w:tcBorders>
              <w:top w:val="single" w:sz="8" w:color="CCEEFF"/>
              <w:bottom w:val="single" w:sz="8" w:color="CCEEFF"/>
            </w:tcBorders>
            <w:shd w:val="clear" w:color="auto" w:fill="CCEEFF"/>
          </w:tcPr>
          <w:p>
            <w:pPr>
              <w:spacing w:after="0"/>
              <w:rPr>
                <w:sz w:val="12"/>
                <w:szCs w:val="12"/>
                <w:color w:val="auto"/>
              </w:rPr>
            </w:pPr>
          </w:p>
        </w:tc>
        <w:tc>
          <w:tcPr>
            <w:tcW w:w="820" w:type="dxa"/>
            <w:vAlign w:val="bottom"/>
            <w:tcBorders>
              <w:top w:val="single" w:sz="8" w:color="CCEEFF"/>
              <w:bottom w:val="single" w:sz="8" w:color="CCEEFF"/>
            </w:tcBorders>
            <w:shd w:val="clear" w:color="auto" w:fill="CCEEFF"/>
          </w:tcPr>
          <w:p>
            <w:pPr>
              <w:spacing w:after="0"/>
              <w:rPr>
                <w:sz w:val="12"/>
                <w:szCs w:val="12"/>
                <w:color w:val="auto"/>
              </w:rPr>
            </w:pPr>
          </w:p>
        </w:tc>
        <w:tc>
          <w:tcPr>
            <w:tcW w:w="100" w:type="dxa"/>
            <w:vAlign w:val="bottom"/>
            <w:tcBorders>
              <w:top w:val="single" w:sz="8" w:color="CCEEFF"/>
              <w:bottom w:val="single" w:sz="8" w:color="CCEEFF"/>
            </w:tcBorders>
            <w:shd w:val="clear" w:color="auto" w:fill="CCEEFF"/>
          </w:tcPr>
          <w:p>
            <w:pPr>
              <w:spacing w:after="0"/>
              <w:rPr>
                <w:sz w:val="12"/>
                <w:szCs w:val="12"/>
                <w:color w:val="auto"/>
              </w:rPr>
            </w:pPr>
          </w:p>
        </w:tc>
        <w:tc>
          <w:tcPr>
            <w:tcW w:w="160" w:type="dxa"/>
            <w:vAlign w:val="bottom"/>
            <w:tcBorders>
              <w:top w:val="single" w:sz="8" w:color="CCEEFF"/>
              <w:bottom w:val="single" w:sz="8" w:color="CCEEFF"/>
            </w:tcBorders>
            <w:shd w:val="clear" w:color="auto" w:fill="CCEEFF"/>
          </w:tcPr>
          <w:p>
            <w:pPr>
              <w:spacing w:after="0"/>
              <w:rPr>
                <w:sz w:val="12"/>
                <w:szCs w:val="12"/>
                <w:color w:val="auto"/>
              </w:rPr>
            </w:pPr>
          </w:p>
        </w:tc>
        <w:tc>
          <w:tcPr>
            <w:tcW w:w="1060" w:type="dxa"/>
            <w:vAlign w:val="bottom"/>
            <w:tcBorders>
              <w:top w:val="single" w:sz="8" w:color="CCEEFF"/>
              <w:bottom w:val="single" w:sz="8" w:color="CCEEFF"/>
            </w:tcBorders>
            <w:shd w:val="clear" w:color="auto" w:fill="CCEEFF"/>
          </w:tcPr>
          <w:p>
            <w:pPr>
              <w:spacing w:after="0"/>
              <w:rPr>
                <w:sz w:val="12"/>
                <w:szCs w:val="12"/>
                <w:color w:val="auto"/>
              </w:rPr>
            </w:pPr>
          </w:p>
        </w:tc>
        <w:tc>
          <w:tcPr>
            <w:tcW w:w="80" w:type="dxa"/>
            <w:vAlign w:val="bottom"/>
            <w:tcBorders>
              <w:top w:val="single" w:sz="8" w:color="CCEEFF"/>
              <w:bottom w:val="single" w:sz="8" w:color="CCEEFF"/>
            </w:tcBorders>
            <w:shd w:val="clear" w:color="auto" w:fill="CCEEFF"/>
          </w:tcPr>
          <w:p>
            <w:pPr>
              <w:spacing w:after="0"/>
              <w:rPr>
                <w:sz w:val="12"/>
                <w:szCs w:val="12"/>
                <w:color w:val="auto"/>
              </w:rPr>
            </w:pPr>
          </w:p>
        </w:tc>
        <w:tc>
          <w:tcPr>
            <w:tcW w:w="160" w:type="dxa"/>
            <w:vAlign w:val="bottom"/>
            <w:tcBorders>
              <w:top w:val="single" w:sz="8" w:color="CCEEFF"/>
              <w:bottom w:val="single" w:sz="8" w:color="CCEEFF"/>
            </w:tcBorders>
            <w:shd w:val="clear" w:color="auto" w:fill="CCEEFF"/>
          </w:tcPr>
          <w:p>
            <w:pPr>
              <w:spacing w:after="0"/>
              <w:rPr>
                <w:sz w:val="12"/>
                <w:szCs w:val="12"/>
                <w:color w:val="auto"/>
              </w:rPr>
            </w:pPr>
          </w:p>
        </w:tc>
        <w:tc>
          <w:tcPr>
            <w:tcW w:w="760" w:type="dxa"/>
            <w:vAlign w:val="bottom"/>
            <w:tcBorders>
              <w:top w:val="single" w:sz="8" w:color="CCEEFF"/>
              <w:bottom w:val="single" w:sz="8" w:color="CCEEFF"/>
            </w:tcBorders>
            <w:shd w:val="clear" w:color="auto" w:fill="CCEEFF"/>
          </w:tcPr>
          <w:p>
            <w:pPr>
              <w:spacing w:after="0"/>
              <w:rPr>
                <w:sz w:val="12"/>
                <w:szCs w:val="12"/>
                <w:color w:val="auto"/>
              </w:rPr>
            </w:pPr>
          </w:p>
        </w:tc>
        <w:tc>
          <w:tcPr>
            <w:tcW w:w="100" w:type="dxa"/>
            <w:vAlign w:val="bottom"/>
            <w:tcBorders>
              <w:top w:val="single" w:sz="8" w:color="CCEEFF"/>
              <w:bottom w:val="single" w:sz="8" w:color="CCEEFF"/>
            </w:tcBorders>
            <w:shd w:val="clear" w:color="auto" w:fill="CCEEFF"/>
          </w:tcPr>
          <w:p>
            <w:pPr>
              <w:spacing w:after="0"/>
              <w:rPr>
                <w:sz w:val="12"/>
                <w:szCs w:val="12"/>
                <w:color w:val="auto"/>
              </w:rPr>
            </w:pPr>
          </w:p>
        </w:tc>
        <w:tc>
          <w:tcPr>
            <w:tcW w:w="100" w:type="dxa"/>
            <w:vAlign w:val="bottom"/>
            <w:tcBorders>
              <w:top w:val="single" w:sz="8" w:color="CCEEFF"/>
              <w:bottom w:val="single" w:sz="8" w:color="CCEEFF"/>
            </w:tcBorders>
            <w:shd w:val="clear" w:color="auto" w:fill="CCEEFF"/>
          </w:tcPr>
          <w:p>
            <w:pPr>
              <w:spacing w:after="0"/>
              <w:rPr>
                <w:sz w:val="12"/>
                <w:szCs w:val="12"/>
                <w:color w:val="auto"/>
              </w:rPr>
            </w:pPr>
          </w:p>
        </w:tc>
        <w:tc>
          <w:tcPr>
            <w:tcW w:w="720" w:type="dxa"/>
            <w:vAlign w:val="bottom"/>
            <w:tcBorders>
              <w:top w:val="single" w:sz="8" w:color="CCEEFF"/>
              <w:bottom w:val="single" w:sz="8" w:color="CCEEFF"/>
            </w:tcBorders>
            <w:shd w:val="clear" w:color="auto" w:fill="CCEEFF"/>
          </w:tcPr>
          <w:p>
            <w:pPr>
              <w:spacing w:after="0"/>
              <w:rPr>
                <w:sz w:val="12"/>
                <w:szCs w:val="12"/>
                <w:color w:val="auto"/>
              </w:rPr>
            </w:pPr>
          </w:p>
        </w:tc>
        <w:tc>
          <w:tcPr>
            <w:tcW w:w="100" w:type="dxa"/>
            <w:vAlign w:val="bottom"/>
            <w:tcBorders>
              <w:top w:val="single" w:sz="8" w:color="CCEEFF"/>
              <w:bottom w:val="single" w:sz="8" w:color="CCEEFF"/>
            </w:tcBorders>
            <w:shd w:val="clear" w:color="auto" w:fill="CCEEFF"/>
          </w:tcPr>
          <w:p>
            <w:pPr>
              <w:spacing w:after="0"/>
              <w:rPr>
                <w:sz w:val="12"/>
                <w:szCs w:val="12"/>
                <w:color w:val="auto"/>
              </w:rPr>
            </w:pPr>
          </w:p>
        </w:tc>
        <w:tc>
          <w:tcPr>
            <w:tcW w:w="860" w:type="dxa"/>
            <w:vAlign w:val="bottom"/>
            <w:tcBorders>
              <w:top w:val="single" w:sz="8" w:color="CCEEFF"/>
              <w:bottom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Borders>
              <w:top w:val="single" w:sz="8" w:color="CCEEFF"/>
            </w:tcBorders>
          </w:tcPr>
          <w:p>
            <w:pPr>
              <w:spacing w:after="0"/>
              <w:rPr>
                <w:sz w:val="18"/>
                <w:szCs w:val="18"/>
                <w:color w:val="auto"/>
              </w:rPr>
            </w:pPr>
          </w:p>
        </w:tc>
        <w:tc>
          <w:tcPr>
            <w:tcW w:w="960" w:type="dxa"/>
            <w:vAlign w:val="bottom"/>
            <w:tcBorders>
              <w:top w:val="single" w:sz="8" w:color="CCEEFF"/>
            </w:tcBorders>
            <w:gridSpan w:val="4"/>
          </w:tcPr>
          <w:p>
            <w:pPr>
              <w:spacing w:after="0"/>
              <w:rPr>
                <w:sz w:val="20"/>
                <w:szCs w:val="20"/>
                <w:color w:val="auto"/>
              </w:rPr>
            </w:pPr>
            <w:r>
              <w:rPr>
                <w:rFonts w:ascii="Times New Roman" w:cs="Times New Roman" w:eastAsia="Times New Roman" w:hAnsi="Times New Roman"/>
                <w:sz w:val="14"/>
                <w:szCs w:val="14"/>
                <w:color w:val="auto"/>
              </w:rPr>
              <w:t>Net lease 1</w:t>
            </w:r>
            <w:r>
              <w:rPr>
                <w:rFonts w:ascii="Times New Roman" w:cs="Times New Roman" w:eastAsia="Times New Roman" w:hAnsi="Times New Roman"/>
                <w:sz w:val="18"/>
                <w:szCs w:val="18"/>
                <w:color w:val="auto"/>
                <w:vertAlign w:val="superscript"/>
              </w:rPr>
              <w:t>(7)</w:t>
            </w:r>
          </w:p>
        </w:tc>
        <w:tc>
          <w:tcPr>
            <w:tcW w:w="1100" w:type="dxa"/>
            <w:vAlign w:val="bottom"/>
            <w:tcBorders>
              <w:top w:val="single" w:sz="8" w:color="CCEEFF"/>
            </w:tcBorders>
            <w:gridSpan w:val="2"/>
          </w:tcPr>
          <w:p>
            <w:pPr>
              <w:ind w:left="20"/>
              <w:spacing w:after="0"/>
              <w:rPr>
                <w:sz w:val="20"/>
                <w:szCs w:val="20"/>
                <w:color w:val="auto"/>
              </w:rPr>
            </w:pPr>
            <w:r>
              <w:rPr>
                <w:rFonts w:ascii="Times New Roman" w:cs="Times New Roman" w:eastAsia="Times New Roman" w:hAnsi="Times New Roman"/>
                <w:sz w:val="14"/>
                <w:szCs w:val="14"/>
                <w:color w:val="auto"/>
              </w:rPr>
              <w:t>Office</w:t>
            </w:r>
          </w:p>
        </w:tc>
        <w:tc>
          <w:tcPr>
            <w:tcW w:w="1080" w:type="dxa"/>
            <w:vAlign w:val="bottom"/>
            <w:tcBorders>
              <w:top w:val="single" w:sz="8" w:color="CCEEFF"/>
            </w:tcBorders>
            <w:gridSpan w:val="2"/>
          </w:tcPr>
          <w:p>
            <w:pPr>
              <w:ind w:left="20"/>
              <w:spacing w:after="0"/>
              <w:rPr>
                <w:sz w:val="20"/>
                <w:szCs w:val="20"/>
                <w:color w:val="auto"/>
              </w:rPr>
            </w:pPr>
            <w:r>
              <w:rPr>
                <w:rFonts w:ascii="Times New Roman" w:cs="Times New Roman" w:eastAsia="Times New Roman" w:hAnsi="Times New Roman"/>
                <w:sz w:val="14"/>
                <w:szCs w:val="14"/>
                <w:color w:val="auto"/>
              </w:rPr>
              <w:t>Aurora, CO</w:t>
            </w:r>
          </w:p>
        </w:tc>
        <w:tc>
          <w:tcPr>
            <w:tcW w:w="88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Borders>
              <w:top w:val="single" w:sz="8" w:color="CCEEFF"/>
            </w:tcBorders>
          </w:tcPr>
          <w:p>
            <w:pPr>
              <w:spacing w:after="0"/>
              <w:rPr>
                <w:sz w:val="18"/>
                <w:szCs w:val="18"/>
                <w:color w:val="auto"/>
              </w:rPr>
            </w:pPr>
          </w:p>
        </w:tc>
        <w:tc>
          <w:tcPr>
            <w:tcW w:w="1180" w:type="dxa"/>
            <w:vAlign w:val="bottom"/>
            <w:tcBorders>
              <w:top w:val="single" w:sz="8" w:color="CCEEFF"/>
            </w:tcBorders>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183,529 RSF</w:t>
            </w:r>
          </w:p>
        </w:tc>
        <w:tc>
          <w:tcPr>
            <w:tcW w:w="800" w:type="dxa"/>
            <w:vAlign w:val="bottom"/>
            <w:tcBorders>
              <w:top w:val="single" w:sz="8" w:color="CCEEFF"/>
            </w:tcBorders>
          </w:tcPr>
          <w:p>
            <w:pPr>
              <w:jc w:val="center"/>
              <w:spacing w:after="0"/>
              <w:rPr>
                <w:sz w:val="20"/>
                <w:szCs w:val="20"/>
                <w:color w:val="auto"/>
              </w:rPr>
            </w:pPr>
            <w:r>
              <w:rPr>
                <w:rFonts w:ascii="Times New Roman" w:cs="Times New Roman" w:eastAsia="Times New Roman" w:hAnsi="Times New Roman"/>
                <w:sz w:val="14"/>
                <w:szCs w:val="14"/>
                <w:color w:val="auto"/>
                <w:w w:val="97"/>
              </w:rPr>
              <w:t>100%</w:t>
            </w:r>
          </w:p>
        </w:tc>
        <w:tc>
          <w:tcPr>
            <w:tcW w:w="10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jc w:val="center"/>
              <w:spacing w:after="0"/>
              <w:rPr>
                <w:sz w:val="20"/>
                <w:szCs w:val="20"/>
                <w:color w:val="auto"/>
              </w:rPr>
            </w:pPr>
            <w:r>
              <w:rPr>
                <w:rFonts w:ascii="Times New Roman" w:cs="Times New Roman" w:eastAsia="Times New Roman" w:hAnsi="Times New Roman"/>
                <w:sz w:val="14"/>
                <w:szCs w:val="14"/>
                <w:color w:val="auto"/>
              </w:rPr>
              <w:t>1.2</w:t>
            </w:r>
          </w:p>
        </w:tc>
        <w:tc>
          <w:tcPr>
            <w:tcW w:w="10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top w:val="single" w:sz="8" w:color="CCEEFF"/>
            </w:tcBorders>
          </w:tcPr>
          <w:p>
            <w:pPr>
              <w:jc w:val="right"/>
              <w:ind w:right="8"/>
              <w:spacing w:after="0"/>
              <w:rPr>
                <w:sz w:val="20"/>
                <w:szCs w:val="20"/>
                <w:color w:val="auto"/>
              </w:rPr>
            </w:pPr>
            <w:r>
              <w:rPr>
                <w:rFonts w:ascii="Times New Roman" w:cs="Times New Roman" w:eastAsia="Times New Roman" w:hAnsi="Times New Roman"/>
                <w:sz w:val="14"/>
                <w:szCs w:val="14"/>
                <w:color w:val="auto"/>
              </w:rPr>
              <w:t>27,154</w:t>
            </w:r>
          </w:p>
        </w:tc>
        <w:tc>
          <w:tcPr>
            <w:tcW w:w="8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4"/>
                <w:szCs w:val="14"/>
                <w:color w:val="auto"/>
              </w:rPr>
              <w:t>231</w:t>
            </w:r>
          </w:p>
        </w:tc>
        <w:tc>
          <w:tcPr>
            <w:tcW w:w="1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4"/>
                <w:szCs w:val="14"/>
                <w:color w:val="auto"/>
              </w:rPr>
              <w:t>27,465</w:t>
            </w:r>
          </w:p>
        </w:tc>
        <w:tc>
          <w:tcPr>
            <w:tcW w:w="100" w:type="dxa"/>
            <w:vAlign w:val="bottom"/>
            <w:tcBorders>
              <w:top w:val="single" w:sz="8" w:color="CCEEFF"/>
            </w:tcBorders>
          </w:tcPr>
          <w:p>
            <w:pPr>
              <w:spacing w:after="0"/>
              <w:rPr>
                <w:sz w:val="18"/>
                <w:szCs w:val="18"/>
                <w:color w:val="auto"/>
              </w:rPr>
            </w:pPr>
          </w:p>
        </w:tc>
        <w:tc>
          <w:tcPr>
            <w:tcW w:w="860" w:type="dxa"/>
            <w:vAlign w:val="bottom"/>
            <w:tcBorders>
              <w:top w:val="single" w:sz="8" w:color="CCEEFF"/>
            </w:tcBorders>
          </w:tcPr>
          <w:p>
            <w:pPr>
              <w:jc w:val="center"/>
              <w:spacing w:after="0"/>
              <w:rPr>
                <w:sz w:val="20"/>
                <w:szCs w:val="20"/>
                <w:color w:val="auto"/>
              </w:rPr>
            </w:pPr>
            <w:r>
              <w:rPr>
                <w:rFonts w:ascii="Times New Roman" w:cs="Times New Roman" w:eastAsia="Times New Roman" w:hAnsi="Times New Roman"/>
                <w:sz w:val="14"/>
                <w:szCs w:val="14"/>
                <w:color w:val="auto"/>
              </w:rPr>
              <w:t>Aug-26</w:t>
            </w:r>
          </w:p>
        </w:tc>
        <w:tc>
          <w:tcPr>
            <w:tcW w:w="0" w:type="dxa"/>
            <w:vAlign w:val="bottom"/>
          </w:tcPr>
          <w:p>
            <w:pPr>
              <w:spacing w:after="0"/>
              <w:rPr>
                <w:sz w:val="1"/>
                <w:szCs w:val="1"/>
                <w:color w:val="auto"/>
              </w:rPr>
            </w:pPr>
          </w:p>
        </w:tc>
      </w:tr>
      <w:tr>
        <w:trPr>
          <w:trHeight w:val="196"/>
        </w:trPr>
        <w:tc>
          <w:tcPr>
            <w:tcW w:w="2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gridSpan w:val="4"/>
            <w:shd w:val="clear" w:color="auto" w:fill="CCEEFF"/>
          </w:tcPr>
          <w:p>
            <w:pPr>
              <w:spacing w:after="0"/>
              <w:rPr>
                <w:sz w:val="20"/>
                <w:szCs w:val="20"/>
                <w:color w:val="auto"/>
              </w:rPr>
            </w:pPr>
            <w:r>
              <w:rPr>
                <w:rFonts w:ascii="Times New Roman" w:cs="Times New Roman" w:eastAsia="Times New Roman" w:hAnsi="Times New Roman"/>
                <w:sz w:val="14"/>
                <w:szCs w:val="14"/>
                <w:color w:val="auto"/>
              </w:rPr>
              <w:t>Net lease 2</w:t>
            </w:r>
          </w:p>
        </w:tc>
        <w:tc>
          <w:tcPr>
            <w:tcW w:w="11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Office</w:t>
            </w:r>
          </w:p>
        </w:tc>
        <w:tc>
          <w:tcPr>
            <w:tcW w:w="10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Indianapolis, IN</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Borders>
              <w:bottom w:val="single" w:sz="8" w:color="CCEEFF"/>
            </w:tcBorders>
            <w:shd w:val="clear" w:color="auto" w:fill="CCEEFF"/>
          </w:tcPr>
          <w:p>
            <w:pPr>
              <w:spacing w:after="0"/>
              <w:rPr>
                <w:sz w:val="17"/>
                <w:szCs w:val="17"/>
                <w:color w:val="auto"/>
              </w:rPr>
            </w:pPr>
          </w:p>
        </w:tc>
        <w:tc>
          <w:tcPr>
            <w:tcW w:w="11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338,000 RSF</w:t>
            </w:r>
          </w:p>
        </w:tc>
        <w:tc>
          <w:tcPr>
            <w:tcW w:w="8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7"/>
              </w:rPr>
              <w:t>100%</w:t>
            </w:r>
          </w:p>
        </w:tc>
        <w:tc>
          <w:tcPr>
            <w:tcW w:w="100" w:type="dxa"/>
            <w:vAlign w:val="bottom"/>
            <w:tcBorders>
              <w:bottom w:val="single" w:sz="8" w:color="CCEEFF"/>
            </w:tcBorders>
            <w:shd w:val="clear" w:color="auto" w:fill="CCEEFF"/>
          </w:tcPr>
          <w:p>
            <w:pPr>
              <w:spacing w:after="0"/>
              <w:rPr>
                <w:sz w:val="17"/>
                <w:szCs w:val="17"/>
                <w:color w:val="auto"/>
              </w:rPr>
            </w:pPr>
          </w:p>
        </w:tc>
        <w:tc>
          <w:tcPr>
            <w:tcW w:w="8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4.3</w:t>
            </w:r>
          </w:p>
        </w:tc>
        <w:tc>
          <w:tcPr>
            <w:tcW w:w="1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106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19,165</w:t>
            </w:r>
          </w:p>
        </w:tc>
        <w:tc>
          <w:tcPr>
            <w:tcW w:w="8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595</w:t>
            </w:r>
          </w:p>
        </w:tc>
        <w:tc>
          <w:tcPr>
            <w:tcW w:w="1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20,221</w:t>
            </w:r>
          </w:p>
        </w:tc>
        <w:tc>
          <w:tcPr>
            <w:tcW w:w="10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Oct-27</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960" w:type="dxa"/>
            <w:vAlign w:val="bottom"/>
            <w:gridSpan w:val="4"/>
          </w:tcPr>
          <w:p>
            <w:pPr>
              <w:spacing w:after="0" w:line="189" w:lineRule="exact"/>
              <w:rPr>
                <w:sz w:val="20"/>
                <w:szCs w:val="20"/>
                <w:color w:val="auto"/>
              </w:rPr>
            </w:pPr>
            <w:r>
              <w:rPr>
                <w:rFonts w:ascii="Times New Roman" w:cs="Times New Roman" w:eastAsia="Times New Roman" w:hAnsi="Times New Roman"/>
                <w:sz w:val="14"/>
                <w:szCs w:val="14"/>
                <w:color w:val="auto"/>
              </w:rPr>
              <w:t>Net lease 3</w:t>
            </w:r>
            <w:r>
              <w:rPr>
                <w:rFonts w:ascii="Times New Roman" w:cs="Times New Roman" w:eastAsia="Times New Roman" w:hAnsi="Times New Roman"/>
                <w:sz w:val="18"/>
                <w:szCs w:val="18"/>
                <w:color w:val="auto"/>
                <w:vertAlign w:val="superscript"/>
              </w:rPr>
              <w:t>(8)</w:t>
            </w:r>
          </w:p>
        </w:tc>
        <w:tc>
          <w:tcPr>
            <w:tcW w:w="11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color w:val="auto"/>
              </w:rPr>
              <w:t>Retail</w:t>
            </w:r>
          </w:p>
        </w:tc>
        <w:tc>
          <w:tcPr>
            <w:tcW w:w="108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color w:val="auto"/>
              </w:rPr>
              <w:t>Various - U.S.</w:t>
            </w: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100" w:type="dxa"/>
            <w:vAlign w:val="bottom"/>
          </w:tcPr>
          <w:p>
            <w:pPr>
              <w:spacing w:after="0"/>
              <w:rPr>
                <w:sz w:val="16"/>
                <w:szCs w:val="16"/>
                <w:color w:val="auto"/>
              </w:rPr>
            </w:pPr>
          </w:p>
        </w:tc>
        <w:tc>
          <w:tcPr>
            <w:tcW w:w="118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269,600 RSF</w:t>
            </w:r>
          </w:p>
        </w:tc>
        <w:tc>
          <w:tcPr>
            <w:tcW w:w="8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w w:val="97"/>
              </w:rPr>
              <w:t>100%</w:t>
            </w:r>
          </w:p>
        </w:tc>
        <w:tc>
          <w:tcPr>
            <w:tcW w:w="100" w:type="dxa"/>
            <w:vAlign w:val="bottom"/>
          </w:tcPr>
          <w:p>
            <w:pPr>
              <w:spacing w:after="0"/>
              <w:rPr>
                <w:sz w:val="16"/>
                <w:szCs w:val="16"/>
                <w:color w:val="auto"/>
              </w:rPr>
            </w:pPr>
          </w:p>
        </w:tc>
        <w:tc>
          <w:tcPr>
            <w:tcW w:w="8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3.0</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54</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26,529</w:t>
            </w:r>
          </w:p>
        </w:tc>
        <w:tc>
          <w:tcPr>
            <w:tcW w:w="100" w:type="dxa"/>
            <w:vAlign w:val="bottom"/>
          </w:tcPr>
          <w:p>
            <w:pPr>
              <w:spacing w:after="0"/>
              <w:rPr>
                <w:sz w:val="16"/>
                <w:szCs w:val="16"/>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Nov-26 &amp;</w:t>
            </w:r>
          </w:p>
        </w:tc>
        <w:tc>
          <w:tcPr>
            <w:tcW w:w="0" w:type="dxa"/>
            <w:vAlign w:val="bottom"/>
          </w:tcPr>
          <w:p>
            <w:pPr>
              <w:spacing w:after="0"/>
              <w:rPr>
                <w:sz w:val="1"/>
                <w:szCs w:val="1"/>
                <w:color w:val="auto"/>
              </w:rPr>
            </w:pPr>
          </w:p>
        </w:tc>
      </w:tr>
      <w:tr>
        <w:trPr>
          <w:trHeight w:val="162"/>
        </w:trPr>
        <w:tc>
          <w:tcPr>
            <w:tcW w:w="380" w:type="dxa"/>
            <w:vAlign w:val="bottom"/>
            <w:gridSpan w:val="2"/>
          </w:tcPr>
          <w:p>
            <w:pPr>
              <w:ind w:left="20"/>
              <w:spacing w:after="0"/>
              <w:rPr>
                <w:sz w:val="20"/>
                <w:szCs w:val="20"/>
                <w:color w:val="auto"/>
              </w:rPr>
            </w:pPr>
            <w:r>
              <w:rPr>
                <w:rFonts w:ascii="Times New Roman" w:cs="Times New Roman" w:eastAsia="Times New Roman" w:hAnsi="Times New Roman"/>
                <w:sz w:val="9"/>
                <w:szCs w:val="9"/>
                <w:color w:val="auto"/>
              </w:rPr>
              <w:t>(9)(10)</w:t>
            </w:r>
          </w:p>
        </w:tc>
        <w:tc>
          <w:tcPr>
            <w:tcW w:w="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00" w:type="dxa"/>
            <w:vAlign w:val="bottom"/>
            <w:gridSpan w:val="2"/>
            <w:vMerge w:val="continue"/>
          </w:tcPr>
          <w:p>
            <w:pPr>
              <w:spacing w:after="0"/>
              <w:rPr>
                <w:sz w:val="14"/>
                <w:szCs w:val="14"/>
                <w:color w:val="auto"/>
              </w:rPr>
            </w:pPr>
          </w:p>
        </w:tc>
        <w:tc>
          <w:tcPr>
            <w:tcW w:w="1080" w:type="dxa"/>
            <w:vAlign w:val="bottom"/>
            <w:gridSpan w:val="2"/>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gridSpan w:val="2"/>
            <w:vMerge w:val="continue"/>
          </w:tcPr>
          <w:p>
            <w:pPr>
              <w:spacing w:after="0"/>
              <w:rPr>
                <w:sz w:val="14"/>
                <w:szCs w:val="14"/>
                <w:color w:val="auto"/>
              </w:rPr>
            </w:pPr>
          </w:p>
        </w:tc>
        <w:tc>
          <w:tcPr>
            <w:tcW w:w="80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Mar-28</w:t>
            </w: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96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4"/>
                <w:szCs w:val="14"/>
                <w:color w:val="auto"/>
              </w:rPr>
              <w:t>Net lease 4</w:t>
            </w:r>
            <w:r>
              <w:rPr>
                <w:rFonts w:ascii="Times New Roman" w:cs="Times New Roman" w:eastAsia="Times New Roman" w:hAnsi="Times New Roman"/>
                <w:sz w:val="18"/>
                <w:szCs w:val="18"/>
                <w:color w:val="auto"/>
                <w:vertAlign w:val="superscript"/>
              </w:rPr>
              <w:t>(8)</w:t>
            </w:r>
          </w:p>
        </w:tc>
        <w:tc>
          <w:tcPr>
            <w:tcW w:w="11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Retail</w:t>
            </w:r>
          </w:p>
        </w:tc>
        <w:tc>
          <w:tcPr>
            <w:tcW w:w="10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Keene, NH</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45,471 RSF</w:t>
            </w:r>
          </w:p>
        </w:tc>
        <w:tc>
          <w:tcPr>
            <w:tcW w:w="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7"/>
              </w:rPr>
              <w:t>100%</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2.3</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6,308</w:t>
            </w: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Nov-26</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960" w:type="dxa"/>
            <w:vAlign w:val="bottom"/>
            <w:gridSpan w:val="4"/>
            <w:vMerge w:val="restart"/>
          </w:tcPr>
          <w:p>
            <w:pPr>
              <w:spacing w:after="0"/>
              <w:rPr>
                <w:sz w:val="20"/>
                <w:szCs w:val="20"/>
                <w:color w:val="auto"/>
              </w:rPr>
            </w:pPr>
            <w:r>
              <w:rPr>
                <w:rFonts w:ascii="Times New Roman" w:cs="Times New Roman" w:eastAsia="Times New Roman" w:hAnsi="Times New Roman"/>
                <w:sz w:val="14"/>
                <w:szCs w:val="14"/>
                <w:color w:val="auto"/>
              </w:rPr>
              <w:t>Net lease 5</w:t>
            </w:r>
          </w:p>
        </w:tc>
        <w:tc>
          <w:tcPr>
            <w:tcW w:w="11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color w:val="auto"/>
              </w:rPr>
              <w:t>Retail</w:t>
            </w:r>
          </w:p>
        </w:tc>
        <w:tc>
          <w:tcPr>
            <w:tcW w:w="1080" w:type="dxa"/>
            <w:vAlign w:val="bottom"/>
            <w:gridSpan w:val="2"/>
          </w:tcPr>
          <w:p>
            <w:pPr>
              <w:ind w:left="20"/>
              <w:spacing w:after="0" w:line="149" w:lineRule="exact"/>
              <w:rPr>
                <w:sz w:val="20"/>
                <w:szCs w:val="20"/>
                <w:color w:val="auto"/>
              </w:rPr>
            </w:pPr>
            <w:r>
              <w:rPr>
                <w:rFonts w:ascii="Times New Roman" w:cs="Times New Roman" w:eastAsia="Times New Roman" w:hAnsi="Times New Roman"/>
                <w:sz w:val="14"/>
                <w:szCs w:val="14"/>
                <w:color w:val="auto"/>
              </w:rPr>
              <w:t>South Portland,</w:t>
            </w: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Pr>
          <w:p>
            <w:pPr>
              <w:spacing w:after="0"/>
              <w:rPr>
                <w:sz w:val="12"/>
                <w:szCs w:val="12"/>
                <w:color w:val="auto"/>
              </w:rPr>
            </w:pPr>
          </w:p>
        </w:tc>
        <w:tc>
          <w:tcPr>
            <w:tcW w:w="118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52,900 RSF</w:t>
            </w:r>
          </w:p>
        </w:tc>
        <w:tc>
          <w:tcPr>
            <w:tcW w:w="8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w w:val="97"/>
              </w:rPr>
              <w:t>100%</w:t>
            </w:r>
          </w:p>
        </w:tc>
        <w:tc>
          <w:tcPr>
            <w:tcW w:w="100" w:type="dxa"/>
            <w:vAlign w:val="bottom"/>
          </w:tcPr>
          <w:p>
            <w:pPr>
              <w:spacing w:after="0"/>
              <w:rPr>
                <w:sz w:val="12"/>
                <w:szCs w:val="12"/>
                <w:color w:val="auto"/>
              </w:rPr>
            </w:pPr>
          </w:p>
        </w:tc>
        <w:tc>
          <w:tcPr>
            <w:tcW w:w="8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5.3</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6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4,730</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105</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8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960" w:type="dxa"/>
            <w:vAlign w:val="bottom"/>
            <w:gridSpan w:val="4"/>
            <w:vMerge w:val="continue"/>
          </w:tcPr>
          <w:p>
            <w:pPr>
              <w:spacing w:after="0"/>
              <w:rPr>
                <w:sz w:val="16"/>
                <w:szCs w:val="16"/>
                <w:color w:val="auto"/>
              </w:rPr>
            </w:pPr>
          </w:p>
        </w:tc>
        <w:tc>
          <w:tcPr>
            <w:tcW w:w="1100" w:type="dxa"/>
            <w:vAlign w:val="bottom"/>
            <w:gridSpan w:val="2"/>
            <w:vMerge w:val="continue"/>
          </w:tcPr>
          <w:p>
            <w:pPr>
              <w:spacing w:after="0"/>
              <w:rPr>
                <w:sz w:val="16"/>
                <w:szCs w:val="16"/>
                <w:color w:val="auto"/>
              </w:rPr>
            </w:pPr>
          </w:p>
        </w:tc>
        <w:tc>
          <w:tcPr>
            <w:tcW w:w="10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ME</w:t>
            </w:r>
          </w:p>
        </w:tc>
        <w:tc>
          <w:tcPr>
            <w:tcW w:w="8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gridSpan w:val="2"/>
            <w:vMerge w:val="continue"/>
          </w:tcPr>
          <w:p>
            <w:pPr>
              <w:spacing w:after="0"/>
              <w:rPr>
                <w:sz w:val="16"/>
                <w:szCs w:val="16"/>
                <w:color w:val="auto"/>
              </w:rPr>
            </w:pPr>
          </w:p>
        </w:tc>
        <w:tc>
          <w:tcPr>
            <w:tcW w:w="8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6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6"/>
        </w:trPr>
        <w:tc>
          <w:tcPr>
            <w:tcW w:w="20" w:type="dxa"/>
            <w:vAlign w:val="bottom"/>
            <w:shd w:val="clear" w:color="auto" w:fill="CCEEFF"/>
          </w:tcPr>
          <w:p>
            <w:pPr>
              <w:spacing w:after="0"/>
              <w:rPr>
                <w:sz w:val="13"/>
                <w:szCs w:val="13"/>
                <w:color w:val="auto"/>
              </w:rPr>
            </w:pPr>
          </w:p>
        </w:tc>
        <w:tc>
          <w:tcPr>
            <w:tcW w:w="960" w:type="dxa"/>
            <w:vAlign w:val="bottom"/>
            <w:gridSpan w:val="4"/>
            <w:shd w:val="clear" w:color="auto" w:fill="CCEEFF"/>
          </w:tcPr>
          <w:p>
            <w:pPr>
              <w:spacing w:after="0" w:line="156" w:lineRule="exact"/>
              <w:rPr>
                <w:sz w:val="20"/>
                <w:szCs w:val="20"/>
                <w:color w:val="auto"/>
              </w:rPr>
            </w:pPr>
            <w:r>
              <w:rPr>
                <w:rFonts w:ascii="Times New Roman" w:cs="Times New Roman" w:eastAsia="Times New Roman" w:hAnsi="Times New Roman"/>
                <w:sz w:val="14"/>
                <w:szCs w:val="14"/>
                <w:color w:val="auto"/>
              </w:rPr>
              <w:t>Net lease 6</w:t>
            </w:r>
            <w:r>
              <w:rPr>
                <w:rFonts w:ascii="Times New Roman" w:cs="Times New Roman" w:eastAsia="Times New Roman" w:hAnsi="Times New Roman"/>
                <w:sz w:val="18"/>
                <w:szCs w:val="18"/>
                <w:color w:val="auto"/>
                <w:vertAlign w:val="superscript"/>
              </w:rPr>
              <w:t>(8)</w:t>
            </w:r>
          </w:p>
        </w:tc>
        <w:tc>
          <w:tcPr>
            <w:tcW w:w="1100" w:type="dxa"/>
            <w:vAlign w:val="bottom"/>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n/a</w:t>
            </w:r>
          </w:p>
        </w:tc>
        <w:tc>
          <w:tcPr>
            <w:tcW w:w="1080" w:type="dxa"/>
            <w:vAlign w:val="bottom"/>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n/a</w:t>
            </w:r>
          </w:p>
        </w:tc>
        <w:tc>
          <w:tcPr>
            <w:tcW w:w="8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3"/>
                <w:szCs w:val="13"/>
                <w:color w:val="auto"/>
              </w:rPr>
            </w:pPr>
          </w:p>
        </w:tc>
        <w:tc>
          <w:tcPr>
            <w:tcW w:w="118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n/a</w:t>
            </w:r>
          </w:p>
        </w:tc>
        <w:tc>
          <w:tcPr>
            <w:tcW w:w="900" w:type="dxa"/>
            <w:vAlign w:val="bottom"/>
            <w:gridSpan w:val="2"/>
            <w:vMerge w:val="restart"/>
            <w:shd w:val="clear" w:color="auto" w:fill="CCEEFF"/>
          </w:tcPr>
          <w:p>
            <w:pPr>
              <w:jc w:val="center"/>
              <w:ind w:right="100"/>
              <w:spacing w:after="0"/>
              <w:rPr>
                <w:sz w:val="20"/>
                <w:szCs w:val="20"/>
                <w:color w:val="auto"/>
              </w:rPr>
            </w:pPr>
            <w:r>
              <w:rPr>
                <w:rFonts w:ascii="Times New Roman" w:cs="Times New Roman" w:eastAsia="Times New Roman" w:hAnsi="Times New Roman"/>
                <w:sz w:val="14"/>
                <w:szCs w:val="14"/>
                <w:color w:val="auto"/>
                <w:w w:val="93"/>
              </w:rPr>
              <w:t>n/a</w:t>
            </w:r>
          </w:p>
        </w:tc>
        <w:tc>
          <w:tcPr>
            <w:tcW w:w="920" w:type="dxa"/>
            <w:vAlign w:val="bottom"/>
            <w:gridSpan w:val="2"/>
            <w:vMerge w:val="restart"/>
            <w:shd w:val="clear" w:color="auto" w:fill="CCEEFF"/>
          </w:tcPr>
          <w:p>
            <w:pPr>
              <w:jc w:val="center"/>
              <w:ind w:right="100"/>
              <w:spacing w:after="0"/>
              <w:rPr>
                <w:sz w:val="20"/>
                <w:szCs w:val="20"/>
                <w:color w:val="auto"/>
              </w:rPr>
            </w:pPr>
            <w:r>
              <w:rPr>
                <w:rFonts w:ascii="Times New Roman" w:cs="Times New Roman" w:eastAsia="Times New Roman" w:hAnsi="Times New Roman"/>
                <w:sz w:val="14"/>
                <w:szCs w:val="14"/>
                <w:color w:val="auto"/>
              </w:rPr>
              <w:t>n/a</w:t>
            </w:r>
          </w:p>
        </w:tc>
        <w:tc>
          <w:tcPr>
            <w:tcW w:w="160" w:type="dxa"/>
            <w:vAlign w:val="bottom"/>
            <w:shd w:val="clear" w:color="auto" w:fill="CCEEFF"/>
          </w:tcPr>
          <w:p>
            <w:pPr>
              <w:spacing w:after="0"/>
              <w:rPr>
                <w:sz w:val="13"/>
                <w:szCs w:val="13"/>
                <w:color w:val="auto"/>
              </w:rPr>
            </w:pPr>
          </w:p>
        </w:tc>
        <w:tc>
          <w:tcPr>
            <w:tcW w:w="114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3"/>
                <w:szCs w:val="13"/>
                <w:color w:val="auto"/>
              </w:rPr>
            </w:pPr>
          </w:p>
        </w:tc>
        <w:tc>
          <w:tcPr>
            <w:tcW w:w="8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3"/>
                <w:szCs w:val="13"/>
                <w:color w:val="auto"/>
              </w:rPr>
            </w:pP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2,924</w:t>
            </w:r>
          </w:p>
        </w:tc>
        <w:tc>
          <w:tcPr>
            <w:tcW w:w="100" w:type="dxa"/>
            <w:vAlign w:val="bottom"/>
            <w:shd w:val="clear" w:color="auto" w:fill="CCEEFF"/>
          </w:tcPr>
          <w:p>
            <w:pPr>
              <w:spacing w:after="0"/>
              <w:rPr>
                <w:sz w:val="13"/>
                <w:szCs w:val="13"/>
                <w:color w:val="auto"/>
              </w:rPr>
            </w:pPr>
          </w:p>
        </w:tc>
        <w:tc>
          <w:tcPr>
            <w:tcW w:w="86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Nov-26</w:t>
            </w:r>
          </w:p>
        </w:tc>
        <w:tc>
          <w:tcPr>
            <w:tcW w:w="0" w:type="dxa"/>
            <w:vAlign w:val="bottom"/>
          </w:tcPr>
          <w:p>
            <w:pPr>
              <w:spacing w:after="0"/>
              <w:rPr>
                <w:sz w:val="1"/>
                <w:szCs w:val="1"/>
                <w:color w:val="auto"/>
              </w:rPr>
            </w:pPr>
          </w:p>
        </w:tc>
      </w:tr>
      <w:tr>
        <w:trPr>
          <w:trHeight w:val="162"/>
        </w:trPr>
        <w:tc>
          <w:tcPr>
            <w:tcW w:w="3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9"/>
                <w:szCs w:val="9"/>
                <w:color w:val="auto"/>
              </w:rPr>
              <w:t>(10)</w:t>
            </w:r>
          </w:p>
        </w:tc>
        <w:tc>
          <w:tcPr>
            <w:tcW w:w="28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300" w:type="dxa"/>
            <w:vAlign w:val="bottom"/>
            <w:tcBorders>
              <w:bottom w:val="single" w:sz="8" w:color="CCEEFF"/>
            </w:tcBorders>
            <w:shd w:val="clear" w:color="auto" w:fill="CCEEFF"/>
          </w:tcPr>
          <w:p>
            <w:pPr>
              <w:spacing w:after="0"/>
              <w:rPr>
                <w:sz w:val="14"/>
                <w:szCs w:val="14"/>
                <w:color w:val="auto"/>
              </w:rPr>
            </w:pPr>
          </w:p>
        </w:tc>
        <w:tc>
          <w:tcPr>
            <w:tcW w:w="1100" w:type="dxa"/>
            <w:vAlign w:val="bottom"/>
            <w:tcBorders>
              <w:bottom w:val="single" w:sz="8" w:color="CCEEFF"/>
            </w:tcBorders>
            <w:gridSpan w:val="2"/>
            <w:vMerge w:val="continue"/>
            <w:shd w:val="clear" w:color="auto" w:fill="CCEEFF"/>
          </w:tcPr>
          <w:p>
            <w:pPr>
              <w:spacing w:after="0"/>
              <w:rPr>
                <w:sz w:val="14"/>
                <w:szCs w:val="14"/>
                <w:color w:val="auto"/>
              </w:rPr>
            </w:pPr>
          </w:p>
        </w:tc>
        <w:tc>
          <w:tcPr>
            <w:tcW w:w="1080" w:type="dxa"/>
            <w:vAlign w:val="bottom"/>
            <w:tcBorders>
              <w:bottom w:val="single" w:sz="8" w:color="CCEEFF"/>
            </w:tcBorders>
            <w:gridSpan w:val="2"/>
            <w:vMerge w:val="continue"/>
            <w:shd w:val="clear" w:color="auto" w:fill="CCEEFF"/>
          </w:tcPr>
          <w:p>
            <w:pPr>
              <w:spacing w:after="0"/>
              <w:rPr>
                <w:sz w:val="14"/>
                <w:szCs w:val="14"/>
                <w:color w:val="auto"/>
              </w:rPr>
            </w:pPr>
          </w:p>
        </w:tc>
        <w:tc>
          <w:tcPr>
            <w:tcW w:w="880" w:type="dxa"/>
            <w:vAlign w:val="bottom"/>
            <w:tcBorders>
              <w:bottom w:val="single" w:sz="8" w:color="CCEEFF"/>
            </w:tcBorders>
            <w:vMerge w:val="continue"/>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180" w:type="dxa"/>
            <w:vAlign w:val="bottom"/>
            <w:tcBorders>
              <w:bottom w:val="single" w:sz="8" w:color="CCEEFF"/>
            </w:tcBorders>
            <w:gridSpan w:val="2"/>
            <w:vMerge w:val="continue"/>
            <w:shd w:val="clear" w:color="auto" w:fill="CCEEFF"/>
          </w:tcPr>
          <w:p>
            <w:pPr>
              <w:spacing w:after="0"/>
              <w:rPr>
                <w:sz w:val="14"/>
                <w:szCs w:val="14"/>
                <w:color w:val="auto"/>
              </w:rPr>
            </w:pPr>
          </w:p>
        </w:tc>
        <w:tc>
          <w:tcPr>
            <w:tcW w:w="900" w:type="dxa"/>
            <w:vAlign w:val="bottom"/>
            <w:tcBorders>
              <w:bottom w:val="single" w:sz="8" w:color="CCEEFF"/>
            </w:tcBorders>
            <w:gridSpan w:val="2"/>
            <w:vMerge w:val="continue"/>
            <w:shd w:val="clear" w:color="auto" w:fill="CCEEFF"/>
          </w:tcPr>
          <w:p>
            <w:pPr>
              <w:spacing w:after="0"/>
              <w:rPr>
                <w:sz w:val="14"/>
                <w:szCs w:val="14"/>
                <w:color w:val="auto"/>
              </w:rPr>
            </w:pPr>
          </w:p>
        </w:tc>
        <w:tc>
          <w:tcPr>
            <w:tcW w:w="920" w:type="dxa"/>
            <w:vAlign w:val="bottom"/>
            <w:tcBorders>
              <w:bottom w:val="single" w:sz="8" w:color="CCEEFF"/>
            </w:tcBorders>
            <w:gridSpan w:val="2"/>
            <w:vMerge w:val="continue"/>
            <w:shd w:val="clear" w:color="auto" w:fill="CCEEFF"/>
          </w:tcPr>
          <w:p>
            <w:pPr>
              <w:spacing w:after="0"/>
              <w:rPr>
                <w:sz w:val="14"/>
                <w:szCs w:val="14"/>
                <w:color w:val="auto"/>
              </w:rPr>
            </w:pPr>
          </w:p>
        </w:tc>
        <w:tc>
          <w:tcPr>
            <w:tcW w:w="160" w:type="dxa"/>
            <w:vAlign w:val="bottom"/>
            <w:tcBorders>
              <w:bottom w:val="single" w:sz="8" w:color="CCEEFF"/>
            </w:tcBorders>
            <w:shd w:val="clear" w:color="auto" w:fill="CCEEFF"/>
          </w:tcPr>
          <w:p>
            <w:pPr>
              <w:spacing w:after="0"/>
              <w:rPr>
                <w:sz w:val="14"/>
                <w:szCs w:val="14"/>
                <w:color w:val="auto"/>
              </w:rPr>
            </w:pPr>
          </w:p>
        </w:tc>
        <w:tc>
          <w:tcPr>
            <w:tcW w:w="1140" w:type="dxa"/>
            <w:vAlign w:val="bottom"/>
            <w:tcBorders>
              <w:bottom w:val="single" w:sz="8" w:color="CCEEFF"/>
            </w:tcBorders>
            <w:gridSpan w:val="2"/>
            <w:vMerge w:val="continue"/>
            <w:shd w:val="clear" w:color="auto" w:fill="CCEEFF"/>
          </w:tcPr>
          <w:p>
            <w:pPr>
              <w:spacing w:after="0"/>
              <w:rPr>
                <w:sz w:val="14"/>
                <w:szCs w:val="14"/>
                <w:color w:val="auto"/>
              </w:rPr>
            </w:pPr>
          </w:p>
        </w:tc>
        <w:tc>
          <w:tcPr>
            <w:tcW w:w="160" w:type="dxa"/>
            <w:vAlign w:val="bottom"/>
            <w:tcBorders>
              <w:bottom w:val="single" w:sz="8" w:color="CCEEFF"/>
            </w:tcBorders>
            <w:shd w:val="clear" w:color="auto" w:fill="CCEEFF"/>
          </w:tcPr>
          <w:p>
            <w:pPr>
              <w:spacing w:after="0"/>
              <w:rPr>
                <w:sz w:val="14"/>
                <w:szCs w:val="14"/>
                <w:color w:val="auto"/>
              </w:rPr>
            </w:pPr>
          </w:p>
        </w:tc>
        <w:tc>
          <w:tcPr>
            <w:tcW w:w="860" w:type="dxa"/>
            <w:vAlign w:val="bottom"/>
            <w:tcBorders>
              <w:bottom w:val="single" w:sz="8" w:color="CCEEFF"/>
            </w:tcBorders>
            <w:gridSpan w:val="2"/>
            <w:vMerge w:val="continue"/>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720" w:type="dxa"/>
            <w:vAlign w:val="bottom"/>
            <w:tcBorders>
              <w:bottom w:val="single" w:sz="8" w:color="CCEEFF"/>
            </w:tcBorders>
            <w:vMerge w:val="continue"/>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860" w:type="dxa"/>
            <w:vAlign w:val="bottom"/>
            <w:tcBorders>
              <w:bottom w:val="single" w:sz="8" w:color="CCEEFF"/>
            </w:tcBorders>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140" w:type="dxa"/>
            <w:vAlign w:val="bottom"/>
            <w:gridSpan w:val="8"/>
          </w:tcPr>
          <w:p>
            <w:pPr>
              <w:spacing w:after="0"/>
              <w:rPr>
                <w:sz w:val="20"/>
                <w:szCs w:val="20"/>
                <w:color w:val="auto"/>
              </w:rPr>
            </w:pPr>
            <w:r>
              <w:rPr>
                <w:rFonts w:ascii="Times New Roman" w:cs="Times New Roman" w:eastAsia="Times New Roman" w:hAnsi="Times New Roman"/>
                <w:sz w:val="14"/>
                <w:szCs w:val="14"/>
                <w:b w:val="1"/>
                <w:bCs w:val="1"/>
                <w:color w:val="auto"/>
              </w:rPr>
              <w:t>Total/Weighted average net leased real estate</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100" w:type="dxa"/>
            <w:vAlign w:val="bottom"/>
          </w:tcPr>
          <w:p>
            <w:pPr>
              <w:spacing w:after="0"/>
              <w:rPr>
                <w:sz w:val="18"/>
                <w:szCs w:val="18"/>
                <w:color w:val="auto"/>
              </w:rPr>
            </w:pPr>
          </w:p>
        </w:tc>
        <w:tc>
          <w:tcPr>
            <w:tcW w:w="11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889,500 RSF</w:t>
            </w:r>
          </w:p>
        </w:tc>
        <w:tc>
          <w:tcPr>
            <w:tcW w:w="8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7"/>
              </w:rPr>
              <w:t>100%</w:t>
            </w:r>
          </w:p>
        </w:tc>
        <w:tc>
          <w:tcPr>
            <w:tcW w:w="100" w:type="dxa"/>
            <w:vAlign w:val="bottom"/>
          </w:tcPr>
          <w:p>
            <w:pPr>
              <w:spacing w:after="0"/>
              <w:rPr>
                <w:sz w:val="18"/>
                <w:szCs w:val="18"/>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2.6</w:t>
            </w:r>
          </w:p>
        </w:tc>
        <w:tc>
          <w:tcPr>
            <w:tcW w:w="10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51,049</w:t>
            </w:r>
          </w:p>
        </w:tc>
        <w:tc>
          <w:tcPr>
            <w:tcW w:w="8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1,012</w:t>
            </w:r>
          </w:p>
        </w:tc>
        <w:tc>
          <w:tcPr>
            <w:tcW w:w="10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83,447</w:t>
            </w: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CCEEFF"/>
            </w:tcBorders>
          </w:tcPr>
          <w:p>
            <w:pPr>
              <w:spacing w:after="0" w:line="20" w:lineRule="exact"/>
              <w:rPr>
                <w:sz w:val="1"/>
                <w:szCs w:val="1"/>
                <w:color w:val="auto"/>
              </w:rPr>
            </w:pPr>
          </w:p>
        </w:tc>
        <w:tc>
          <w:tcPr>
            <w:tcW w:w="10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96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color w:val="auto"/>
              </w:rPr>
              <w:t>Other real</w:t>
            </w:r>
          </w:p>
        </w:tc>
        <w:tc>
          <w:tcPr>
            <w:tcW w:w="10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660" w:type="dxa"/>
            <w:vAlign w:val="bottom"/>
            <w:tcBorders>
              <w:top w:val="single" w:sz="8" w:color="auto"/>
            </w:tcBorders>
            <w:gridSpan w:val="3"/>
          </w:tcPr>
          <w:p>
            <w:pPr>
              <w:spacing w:after="0" w:line="115" w:lineRule="exact"/>
              <w:rPr>
                <w:sz w:val="20"/>
                <w:szCs w:val="20"/>
                <w:color w:val="auto"/>
              </w:rPr>
            </w:pPr>
            <w:r>
              <w:rPr>
                <w:rFonts w:ascii="Times New Roman" w:cs="Times New Roman" w:eastAsia="Times New Roman" w:hAnsi="Times New Roman"/>
                <w:sz w:val="13"/>
                <w:szCs w:val="13"/>
                <w:b w:val="1"/>
                <w:bCs w:val="1"/>
                <w:color w:val="auto"/>
              </w:rPr>
              <w:t>estate</w:t>
            </w:r>
          </w:p>
        </w:tc>
        <w:tc>
          <w:tcPr>
            <w:tcW w:w="30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360" w:type="dxa"/>
            <w:vAlign w:val="bottom"/>
            <w:tcBorders>
              <w:top w:val="single" w:sz="8" w:color="auto"/>
            </w:tcBorders>
          </w:tcPr>
          <w:p>
            <w:pPr>
              <w:spacing w:after="0"/>
              <w:rPr>
                <w:sz w:val="2"/>
                <w:szCs w:val="2"/>
                <w:color w:val="auto"/>
              </w:rPr>
            </w:pPr>
          </w:p>
        </w:tc>
        <w:tc>
          <w:tcPr>
            <w:tcW w:w="28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shd w:val="clear" w:color="auto" w:fill="CCEEFF"/>
          </w:tcPr>
          <w:p>
            <w:pPr>
              <w:spacing w:after="0"/>
              <w:rPr>
                <w:sz w:val="12"/>
                <w:szCs w:val="12"/>
                <w:color w:val="auto"/>
              </w:rPr>
            </w:pPr>
          </w:p>
        </w:tc>
        <w:tc>
          <w:tcPr>
            <w:tcW w:w="960" w:type="dxa"/>
            <w:vAlign w:val="bottom"/>
            <w:gridSpan w:val="4"/>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Other real</w:t>
            </w:r>
          </w:p>
        </w:tc>
        <w:tc>
          <w:tcPr>
            <w:tcW w:w="1100" w:type="dxa"/>
            <w:vAlign w:val="bottom"/>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Hotel</w:t>
            </w:r>
          </w:p>
        </w:tc>
        <w:tc>
          <w:tcPr>
            <w:tcW w:w="1080" w:type="dxa"/>
            <w:vAlign w:val="bottom"/>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San Jose, CA</w:t>
            </w:r>
          </w:p>
        </w:tc>
        <w:tc>
          <w:tcPr>
            <w:tcW w:w="8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shd w:val="clear" w:color="auto" w:fill="CCEEFF"/>
          </w:tcPr>
          <w:p>
            <w:pPr>
              <w:spacing w:after="0"/>
              <w:rPr>
                <w:sz w:val="12"/>
                <w:szCs w:val="12"/>
                <w:color w:val="auto"/>
              </w:rPr>
            </w:pPr>
          </w:p>
        </w:tc>
        <w:tc>
          <w:tcPr>
            <w:tcW w:w="118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541 Keys</w:t>
            </w:r>
          </w:p>
        </w:tc>
        <w:tc>
          <w:tcPr>
            <w:tcW w:w="80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81%</w:t>
            </w:r>
          </w:p>
        </w:tc>
        <w:tc>
          <w:tcPr>
            <w:tcW w:w="100" w:type="dxa"/>
            <w:vAlign w:val="bottom"/>
            <w:shd w:val="clear" w:color="auto" w:fill="CCEEFF"/>
          </w:tcPr>
          <w:p>
            <w:pPr>
              <w:spacing w:after="0"/>
              <w:rPr>
                <w:sz w:val="12"/>
                <w:szCs w:val="12"/>
                <w:color w:val="auto"/>
              </w:rPr>
            </w:pPr>
          </w:p>
        </w:tc>
        <w:tc>
          <w:tcPr>
            <w:tcW w:w="920" w:type="dxa"/>
            <w:vAlign w:val="bottom"/>
            <w:gridSpan w:val="2"/>
            <w:vMerge w:val="restart"/>
            <w:shd w:val="clear" w:color="auto" w:fill="CCEEFF"/>
          </w:tcPr>
          <w:p>
            <w:pPr>
              <w:jc w:val="center"/>
              <w:ind w:right="100"/>
              <w:spacing w:after="0"/>
              <w:rPr>
                <w:sz w:val="20"/>
                <w:szCs w:val="20"/>
                <w:color w:val="auto"/>
              </w:rPr>
            </w:pPr>
            <w:r>
              <w:rPr>
                <w:rFonts w:ascii="Times New Roman" w:cs="Times New Roman" w:eastAsia="Times New Roman" w:hAnsi="Times New Roman"/>
                <w:sz w:val="14"/>
                <w:szCs w:val="14"/>
                <w:color w:val="auto"/>
              </w:rPr>
              <w:t>n/a</w:t>
            </w:r>
          </w:p>
        </w:tc>
        <w:tc>
          <w:tcPr>
            <w:tcW w:w="160" w:type="dxa"/>
            <w:vAlign w:val="bottom"/>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144,634</w:t>
            </w:r>
          </w:p>
        </w:tc>
        <w:tc>
          <w:tcPr>
            <w:tcW w:w="80" w:type="dxa"/>
            <w:vAlign w:val="bottom"/>
            <w:shd w:val="clear" w:color="auto" w:fill="CCEEFF"/>
          </w:tcPr>
          <w:p>
            <w:pPr>
              <w:spacing w:after="0"/>
              <w:rPr>
                <w:sz w:val="12"/>
                <w:szCs w:val="12"/>
                <w:color w:val="auto"/>
              </w:rPr>
            </w:pPr>
          </w:p>
        </w:tc>
        <w:tc>
          <w:tcPr>
            <w:tcW w:w="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86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0" w:type="dxa"/>
            <w:vAlign w:val="bottom"/>
          </w:tcPr>
          <w:p>
            <w:pPr>
              <w:spacing w:after="0"/>
              <w:rPr>
                <w:sz w:val="1"/>
                <w:szCs w:val="1"/>
                <w:color w:val="auto"/>
              </w:rPr>
            </w:pPr>
          </w:p>
        </w:tc>
      </w:tr>
      <w:tr>
        <w:trPr>
          <w:trHeight w:val="203"/>
        </w:trPr>
        <w:tc>
          <w:tcPr>
            <w:tcW w:w="20" w:type="dxa"/>
            <w:vAlign w:val="bottom"/>
            <w:shd w:val="clear" w:color="auto" w:fill="CCEEFF"/>
          </w:tcPr>
          <w:p>
            <w:pPr>
              <w:spacing w:after="0"/>
              <w:rPr>
                <w:sz w:val="17"/>
                <w:szCs w:val="17"/>
                <w:color w:val="auto"/>
              </w:rPr>
            </w:pPr>
          </w:p>
        </w:tc>
        <w:tc>
          <w:tcPr>
            <w:tcW w:w="96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4"/>
                <w:szCs w:val="14"/>
                <w:color w:val="auto"/>
              </w:rPr>
              <w:t>estate 1</w:t>
            </w:r>
            <w:r>
              <w:rPr>
                <w:rFonts w:ascii="Times New Roman" w:cs="Times New Roman" w:eastAsia="Times New Roman" w:hAnsi="Times New Roman"/>
                <w:sz w:val="9"/>
                <w:szCs w:val="9"/>
                <w:color w:val="auto"/>
              </w:rPr>
              <w:t>(11)</w:t>
            </w:r>
          </w:p>
        </w:tc>
        <w:tc>
          <w:tcPr>
            <w:tcW w:w="1100" w:type="dxa"/>
            <w:vAlign w:val="bottom"/>
            <w:gridSpan w:val="2"/>
            <w:vMerge w:val="continue"/>
            <w:shd w:val="clear" w:color="auto" w:fill="CCEEFF"/>
          </w:tcPr>
          <w:p>
            <w:pPr>
              <w:spacing w:after="0"/>
              <w:rPr>
                <w:sz w:val="17"/>
                <w:szCs w:val="17"/>
                <w:color w:val="auto"/>
              </w:rPr>
            </w:pPr>
          </w:p>
        </w:tc>
        <w:tc>
          <w:tcPr>
            <w:tcW w:w="1080" w:type="dxa"/>
            <w:vAlign w:val="bottom"/>
            <w:gridSpan w:val="2"/>
            <w:vMerge w:val="continue"/>
            <w:shd w:val="clear" w:color="auto" w:fill="CCEEFF"/>
          </w:tcPr>
          <w:p>
            <w:pPr>
              <w:spacing w:after="0"/>
              <w:rPr>
                <w:sz w:val="17"/>
                <w:szCs w:val="17"/>
                <w:color w:val="auto"/>
              </w:rPr>
            </w:pPr>
          </w:p>
        </w:tc>
        <w:tc>
          <w:tcPr>
            <w:tcW w:w="88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80" w:type="dxa"/>
            <w:vAlign w:val="bottom"/>
            <w:gridSpan w:val="2"/>
            <w:vMerge w:val="continue"/>
            <w:shd w:val="clear" w:color="auto" w:fill="CCEEFF"/>
          </w:tcPr>
          <w:p>
            <w:pPr>
              <w:spacing w:after="0"/>
              <w:rPr>
                <w:sz w:val="17"/>
                <w:szCs w:val="17"/>
                <w:color w:val="auto"/>
              </w:rPr>
            </w:pPr>
          </w:p>
        </w:tc>
        <w:tc>
          <w:tcPr>
            <w:tcW w:w="80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gridSpan w:val="2"/>
            <w:vMerge w:val="continue"/>
            <w:shd w:val="clear" w:color="auto" w:fill="CCEEFF"/>
          </w:tcPr>
          <w:p>
            <w:pPr>
              <w:spacing w:after="0"/>
              <w:rPr>
                <w:sz w:val="17"/>
                <w:szCs w:val="17"/>
                <w:color w:val="auto"/>
              </w:rPr>
            </w:pPr>
          </w:p>
        </w:tc>
        <w:tc>
          <w:tcPr>
            <w:tcW w:w="160" w:type="dxa"/>
            <w:vAlign w:val="bottom"/>
            <w:vMerge w:val="continue"/>
            <w:shd w:val="clear" w:color="auto" w:fill="CCEEFF"/>
          </w:tcPr>
          <w:p>
            <w:pPr>
              <w:spacing w:after="0"/>
              <w:rPr>
                <w:sz w:val="17"/>
                <w:szCs w:val="17"/>
                <w:color w:val="auto"/>
              </w:rPr>
            </w:pPr>
          </w:p>
        </w:tc>
        <w:tc>
          <w:tcPr>
            <w:tcW w:w="106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vMerge w:val="continue"/>
            <w:shd w:val="clear" w:color="auto" w:fill="CCEEFF"/>
          </w:tcPr>
          <w:p>
            <w:pPr>
              <w:spacing w:after="0"/>
              <w:rPr>
                <w:sz w:val="17"/>
                <w:szCs w:val="17"/>
                <w:color w:val="auto"/>
              </w:rPr>
            </w:pPr>
          </w:p>
        </w:tc>
        <w:tc>
          <w:tcPr>
            <w:tcW w:w="860" w:type="dxa"/>
            <w:vAlign w:val="bottom"/>
            <w:gridSpan w:val="2"/>
            <w:vMerge w:val="continue"/>
            <w:shd w:val="clear" w:color="auto" w:fill="CCEEFF"/>
          </w:tcPr>
          <w:p>
            <w:pPr>
              <w:spacing w:after="0"/>
              <w:rPr>
                <w:sz w:val="17"/>
                <w:szCs w:val="17"/>
                <w:color w:val="auto"/>
              </w:rPr>
            </w:pPr>
          </w:p>
        </w:tc>
        <w:tc>
          <w:tcPr>
            <w:tcW w:w="100" w:type="dxa"/>
            <w:vAlign w:val="bottom"/>
            <w:vMerge w:val="continue"/>
            <w:shd w:val="clear" w:color="auto" w:fill="CCEEFF"/>
          </w:tcPr>
          <w:p>
            <w:pPr>
              <w:spacing w:after="0"/>
              <w:rPr>
                <w:sz w:val="17"/>
                <w:szCs w:val="17"/>
                <w:color w:val="auto"/>
              </w:rPr>
            </w:pPr>
          </w:p>
        </w:tc>
        <w:tc>
          <w:tcPr>
            <w:tcW w:w="72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960" w:type="dxa"/>
            <w:vAlign w:val="bottom"/>
            <w:gridSpan w:val="4"/>
          </w:tcPr>
          <w:p>
            <w:pPr>
              <w:spacing w:after="0" w:line="149" w:lineRule="exact"/>
              <w:rPr>
                <w:sz w:val="20"/>
                <w:szCs w:val="20"/>
                <w:color w:val="auto"/>
              </w:rPr>
            </w:pPr>
            <w:r>
              <w:rPr>
                <w:rFonts w:ascii="Times New Roman" w:cs="Times New Roman" w:eastAsia="Times New Roman" w:hAnsi="Times New Roman"/>
                <w:sz w:val="14"/>
                <w:szCs w:val="14"/>
                <w:color w:val="auto"/>
              </w:rPr>
              <w:t>Other real</w:t>
            </w:r>
          </w:p>
        </w:tc>
        <w:tc>
          <w:tcPr>
            <w:tcW w:w="11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color w:val="auto"/>
              </w:rPr>
              <w:t>Office</w:t>
            </w:r>
          </w:p>
        </w:tc>
        <w:tc>
          <w:tcPr>
            <w:tcW w:w="1080" w:type="dxa"/>
            <w:vAlign w:val="bottom"/>
            <w:gridSpan w:val="2"/>
          </w:tcPr>
          <w:p>
            <w:pPr>
              <w:ind w:left="20"/>
              <w:spacing w:after="0" w:line="149" w:lineRule="exact"/>
              <w:rPr>
                <w:sz w:val="20"/>
                <w:szCs w:val="20"/>
                <w:color w:val="auto"/>
              </w:rPr>
            </w:pPr>
            <w:r>
              <w:rPr>
                <w:rFonts w:ascii="Times New Roman" w:cs="Times New Roman" w:eastAsia="Times New Roman" w:hAnsi="Times New Roman"/>
                <w:sz w:val="14"/>
                <w:szCs w:val="14"/>
                <w:color w:val="auto"/>
              </w:rPr>
              <w:t>Creve Coeur,</w:t>
            </w: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100" w:type="dxa"/>
            <w:vAlign w:val="bottom"/>
          </w:tcPr>
          <w:p>
            <w:pPr>
              <w:spacing w:after="0"/>
              <w:rPr>
                <w:sz w:val="12"/>
                <w:szCs w:val="12"/>
                <w:color w:val="auto"/>
              </w:rPr>
            </w:pPr>
          </w:p>
        </w:tc>
        <w:tc>
          <w:tcPr>
            <w:tcW w:w="118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847,604 RSF</w:t>
            </w:r>
          </w:p>
        </w:tc>
        <w:tc>
          <w:tcPr>
            <w:tcW w:w="8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80%</w:t>
            </w:r>
          </w:p>
        </w:tc>
        <w:tc>
          <w:tcPr>
            <w:tcW w:w="100" w:type="dxa"/>
            <w:vAlign w:val="bottom"/>
          </w:tcPr>
          <w:p>
            <w:pPr>
              <w:spacing w:after="0"/>
              <w:rPr>
                <w:sz w:val="12"/>
                <w:szCs w:val="12"/>
                <w:color w:val="auto"/>
              </w:rPr>
            </w:pPr>
          </w:p>
        </w:tc>
        <w:tc>
          <w:tcPr>
            <w:tcW w:w="8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3.0</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2,747</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90,642</w:t>
            </w:r>
          </w:p>
        </w:tc>
        <w:tc>
          <w:tcPr>
            <w:tcW w:w="100" w:type="dxa"/>
            <w:vAlign w:val="bottom"/>
          </w:tcPr>
          <w:p>
            <w:pPr>
              <w:spacing w:after="0"/>
              <w:rPr>
                <w:sz w:val="12"/>
                <w:szCs w:val="12"/>
                <w:color w:val="auto"/>
              </w:rPr>
            </w:pPr>
          </w:p>
        </w:tc>
        <w:tc>
          <w:tcPr>
            <w:tcW w:w="8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Dec-28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960" w:type="dxa"/>
            <w:vAlign w:val="bottom"/>
            <w:gridSpan w:val="4"/>
          </w:tcPr>
          <w:p>
            <w:pPr>
              <w:spacing w:after="0" w:line="202" w:lineRule="exact"/>
              <w:rPr>
                <w:sz w:val="20"/>
                <w:szCs w:val="20"/>
                <w:color w:val="auto"/>
              </w:rPr>
            </w:pPr>
            <w:r>
              <w:rPr>
                <w:rFonts w:ascii="Times New Roman" w:cs="Times New Roman" w:eastAsia="Times New Roman" w:hAnsi="Times New Roman"/>
                <w:sz w:val="14"/>
                <w:szCs w:val="14"/>
                <w:color w:val="auto"/>
              </w:rPr>
              <w:t>estate 2</w:t>
            </w:r>
            <w:r>
              <w:rPr>
                <w:rFonts w:ascii="Times New Roman" w:cs="Times New Roman" w:eastAsia="Times New Roman" w:hAnsi="Times New Roman"/>
                <w:sz w:val="18"/>
                <w:szCs w:val="18"/>
                <w:color w:val="auto"/>
                <w:vertAlign w:val="superscript"/>
              </w:rPr>
              <w:t>(8)(12)</w:t>
            </w:r>
          </w:p>
        </w:tc>
        <w:tc>
          <w:tcPr>
            <w:tcW w:w="1100" w:type="dxa"/>
            <w:vAlign w:val="bottom"/>
            <w:gridSpan w:val="2"/>
            <w:vMerge w:val="continue"/>
          </w:tcPr>
          <w:p>
            <w:pPr>
              <w:spacing w:after="0"/>
              <w:rPr>
                <w:sz w:val="17"/>
                <w:szCs w:val="17"/>
                <w:color w:val="auto"/>
              </w:rPr>
            </w:pPr>
          </w:p>
        </w:tc>
        <w:tc>
          <w:tcPr>
            <w:tcW w:w="10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MO</w:t>
            </w:r>
          </w:p>
        </w:tc>
        <w:tc>
          <w:tcPr>
            <w:tcW w:w="88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gridSpan w:val="2"/>
            <w:vMerge w:val="continue"/>
          </w:tcPr>
          <w:p>
            <w:pPr>
              <w:spacing w:after="0"/>
              <w:rPr>
                <w:sz w:val="17"/>
                <w:szCs w:val="17"/>
                <w:color w:val="auto"/>
              </w:rPr>
            </w:pPr>
          </w:p>
        </w:tc>
        <w:tc>
          <w:tcPr>
            <w:tcW w:w="80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gridSpan w:val="2"/>
            <w:vMerge w:val="continue"/>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48"/>
        </w:trPr>
        <w:tc>
          <w:tcPr>
            <w:tcW w:w="20" w:type="dxa"/>
            <w:vAlign w:val="bottom"/>
            <w:shd w:val="clear" w:color="auto" w:fill="CCEEFF"/>
          </w:tcPr>
          <w:p>
            <w:pPr>
              <w:spacing w:after="0"/>
              <w:rPr>
                <w:sz w:val="12"/>
                <w:szCs w:val="12"/>
                <w:color w:val="auto"/>
              </w:rPr>
            </w:pPr>
          </w:p>
        </w:tc>
        <w:tc>
          <w:tcPr>
            <w:tcW w:w="960" w:type="dxa"/>
            <w:vAlign w:val="bottom"/>
            <w:gridSpan w:val="4"/>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Other real</w:t>
            </w:r>
          </w:p>
        </w:tc>
        <w:tc>
          <w:tcPr>
            <w:tcW w:w="1100" w:type="dxa"/>
            <w:vAlign w:val="bottom"/>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Multifamily</w:t>
            </w:r>
          </w:p>
        </w:tc>
        <w:tc>
          <w:tcPr>
            <w:tcW w:w="1080" w:type="dxa"/>
            <w:vAlign w:val="bottom"/>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Dallas, TX</w:t>
            </w:r>
          </w:p>
        </w:tc>
        <w:tc>
          <w:tcPr>
            <w:tcW w:w="8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shd w:val="clear" w:color="auto" w:fill="CCEEFF"/>
          </w:tcPr>
          <w:p>
            <w:pPr>
              <w:spacing w:after="0"/>
              <w:rPr>
                <w:sz w:val="12"/>
                <w:szCs w:val="12"/>
                <w:color w:val="auto"/>
              </w:rPr>
            </w:pPr>
          </w:p>
        </w:tc>
        <w:tc>
          <w:tcPr>
            <w:tcW w:w="118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624 Units</w:t>
            </w:r>
          </w:p>
        </w:tc>
        <w:tc>
          <w:tcPr>
            <w:tcW w:w="80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55%</w:t>
            </w:r>
          </w:p>
        </w:tc>
        <w:tc>
          <w:tcPr>
            <w:tcW w:w="100" w:type="dxa"/>
            <w:vAlign w:val="bottom"/>
            <w:shd w:val="clear" w:color="auto" w:fill="CCEEFF"/>
          </w:tcPr>
          <w:p>
            <w:pPr>
              <w:spacing w:after="0"/>
              <w:rPr>
                <w:sz w:val="12"/>
                <w:szCs w:val="12"/>
                <w:color w:val="auto"/>
              </w:rPr>
            </w:pPr>
          </w:p>
        </w:tc>
        <w:tc>
          <w:tcPr>
            <w:tcW w:w="920" w:type="dxa"/>
            <w:vAlign w:val="bottom"/>
            <w:gridSpan w:val="2"/>
            <w:vMerge w:val="restart"/>
            <w:shd w:val="clear" w:color="auto" w:fill="CCEEFF"/>
          </w:tcPr>
          <w:p>
            <w:pPr>
              <w:jc w:val="center"/>
              <w:ind w:right="100"/>
              <w:spacing w:after="0"/>
              <w:rPr>
                <w:sz w:val="20"/>
                <w:szCs w:val="20"/>
                <w:color w:val="auto"/>
              </w:rPr>
            </w:pPr>
            <w:r>
              <w:rPr>
                <w:rFonts w:ascii="Times New Roman" w:cs="Times New Roman" w:eastAsia="Times New Roman" w:hAnsi="Times New Roman"/>
                <w:sz w:val="14"/>
                <w:szCs w:val="14"/>
                <w:color w:val="auto"/>
              </w:rPr>
              <w:t>n/a</w:t>
            </w:r>
          </w:p>
        </w:tc>
        <w:tc>
          <w:tcPr>
            <w:tcW w:w="160" w:type="dxa"/>
            <w:vAlign w:val="bottom"/>
            <w:shd w:val="clear" w:color="auto" w:fill="CCEEFF"/>
          </w:tcPr>
          <w:p>
            <w:pPr>
              <w:spacing w:after="0"/>
              <w:rPr>
                <w:sz w:val="12"/>
                <w:szCs w:val="12"/>
                <w:color w:val="auto"/>
              </w:rPr>
            </w:pPr>
          </w:p>
        </w:tc>
        <w:tc>
          <w:tcPr>
            <w:tcW w:w="1060" w:type="dxa"/>
            <w:vAlign w:val="bottom"/>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45,429</w:t>
            </w: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86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0" w:type="dxa"/>
            <w:vAlign w:val="bottom"/>
          </w:tcPr>
          <w:p>
            <w:pPr>
              <w:spacing w:after="0"/>
              <w:rPr>
                <w:sz w:val="1"/>
                <w:szCs w:val="1"/>
                <w:color w:val="auto"/>
              </w:rPr>
            </w:pPr>
          </w:p>
        </w:tc>
      </w:tr>
      <w:tr>
        <w:trPr>
          <w:trHeight w:val="203"/>
        </w:trPr>
        <w:tc>
          <w:tcPr>
            <w:tcW w:w="20" w:type="dxa"/>
            <w:vAlign w:val="bottom"/>
            <w:shd w:val="clear" w:color="auto" w:fill="CCEEFF"/>
          </w:tcPr>
          <w:p>
            <w:pPr>
              <w:spacing w:after="0"/>
              <w:rPr>
                <w:sz w:val="17"/>
                <w:szCs w:val="17"/>
                <w:color w:val="auto"/>
              </w:rPr>
            </w:pPr>
          </w:p>
        </w:tc>
        <w:tc>
          <w:tcPr>
            <w:tcW w:w="96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4"/>
                <w:szCs w:val="14"/>
                <w:color w:val="auto"/>
              </w:rPr>
              <w:t>estate 3</w:t>
            </w:r>
            <w:r>
              <w:rPr>
                <w:rFonts w:ascii="Times New Roman" w:cs="Times New Roman" w:eastAsia="Times New Roman" w:hAnsi="Times New Roman"/>
                <w:sz w:val="9"/>
                <w:szCs w:val="9"/>
                <w:color w:val="auto"/>
              </w:rPr>
              <w:t>(11)</w:t>
            </w:r>
          </w:p>
        </w:tc>
        <w:tc>
          <w:tcPr>
            <w:tcW w:w="1100" w:type="dxa"/>
            <w:vAlign w:val="bottom"/>
            <w:gridSpan w:val="2"/>
            <w:vMerge w:val="continue"/>
            <w:shd w:val="clear" w:color="auto" w:fill="CCEEFF"/>
          </w:tcPr>
          <w:p>
            <w:pPr>
              <w:spacing w:after="0"/>
              <w:rPr>
                <w:sz w:val="17"/>
                <w:szCs w:val="17"/>
                <w:color w:val="auto"/>
              </w:rPr>
            </w:pPr>
          </w:p>
        </w:tc>
        <w:tc>
          <w:tcPr>
            <w:tcW w:w="1080" w:type="dxa"/>
            <w:vAlign w:val="bottom"/>
            <w:gridSpan w:val="2"/>
            <w:vMerge w:val="continue"/>
            <w:shd w:val="clear" w:color="auto" w:fill="CCEEFF"/>
          </w:tcPr>
          <w:p>
            <w:pPr>
              <w:spacing w:after="0"/>
              <w:rPr>
                <w:sz w:val="17"/>
                <w:szCs w:val="17"/>
                <w:color w:val="auto"/>
              </w:rPr>
            </w:pPr>
          </w:p>
        </w:tc>
        <w:tc>
          <w:tcPr>
            <w:tcW w:w="88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80" w:type="dxa"/>
            <w:vAlign w:val="bottom"/>
            <w:gridSpan w:val="2"/>
            <w:vMerge w:val="continue"/>
            <w:shd w:val="clear" w:color="auto" w:fill="CCEEFF"/>
          </w:tcPr>
          <w:p>
            <w:pPr>
              <w:spacing w:after="0"/>
              <w:rPr>
                <w:sz w:val="17"/>
                <w:szCs w:val="17"/>
                <w:color w:val="auto"/>
              </w:rPr>
            </w:pPr>
          </w:p>
        </w:tc>
        <w:tc>
          <w:tcPr>
            <w:tcW w:w="80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gridSpan w:val="2"/>
            <w:vMerge w:val="continue"/>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6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960" w:type="dxa"/>
            <w:vAlign w:val="bottom"/>
            <w:gridSpan w:val="4"/>
          </w:tcPr>
          <w:p>
            <w:pPr>
              <w:spacing w:after="0"/>
              <w:rPr>
                <w:sz w:val="20"/>
                <w:szCs w:val="20"/>
                <w:color w:val="auto"/>
              </w:rPr>
            </w:pPr>
            <w:r>
              <w:rPr>
                <w:rFonts w:ascii="Times New Roman" w:cs="Times New Roman" w:eastAsia="Times New Roman" w:hAnsi="Times New Roman"/>
                <w:sz w:val="14"/>
                <w:szCs w:val="14"/>
                <w:color w:val="auto"/>
              </w:rPr>
              <w:t>Other real</w:t>
            </w:r>
          </w:p>
        </w:tc>
        <w:tc>
          <w:tcPr>
            <w:tcW w:w="11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Multifamily/Pre-</w:t>
            </w:r>
          </w:p>
        </w:tc>
        <w:tc>
          <w:tcPr>
            <w:tcW w:w="108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color w:val="auto"/>
              </w:rPr>
              <w:t>Santa Clara, CA</w:t>
            </w: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Pr>
          <w:p>
            <w:pPr>
              <w:spacing w:after="0"/>
              <w:rPr>
                <w:sz w:val="16"/>
                <w:szCs w:val="16"/>
                <w:color w:val="auto"/>
              </w:rPr>
            </w:pPr>
          </w:p>
        </w:tc>
        <w:tc>
          <w:tcPr>
            <w:tcW w:w="118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n/a</w:t>
            </w:r>
          </w:p>
        </w:tc>
        <w:tc>
          <w:tcPr>
            <w:tcW w:w="90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color w:val="auto"/>
                <w:w w:val="93"/>
              </w:rPr>
              <w:t>n/a</w:t>
            </w:r>
          </w:p>
        </w:tc>
        <w:tc>
          <w:tcPr>
            <w:tcW w:w="92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color w:val="auto"/>
              </w:rPr>
              <w:t>n/a</w:t>
            </w:r>
          </w:p>
        </w:tc>
        <w:tc>
          <w:tcPr>
            <w:tcW w:w="160" w:type="dxa"/>
            <w:vAlign w:val="bottom"/>
          </w:tcPr>
          <w:p>
            <w:pPr>
              <w:spacing w:after="0"/>
              <w:rPr>
                <w:sz w:val="16"/>
                <w:szCs w:val="16"/>
                <w:color w:val="auto"/>
              </w:rPr>
            </w:pPr>
          </w:p>
        </w:tc>
        <w:tc>
          <w:tcPr>
            <w:tcW w:w="106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6,413</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33,347</w:t>
            </w:r>
          </w:p>
        </w:tc>
        <w:tc>
          <w:tcPr>
            <w:tcW w:w="100" w:type="dxa"/>
            <w:vAlign w:val="bottom"/>
          </w:tcPr>
          <w:p>
            <w:pPr>
              <w:spacing w:after="0"/>
              <w:rPr>
                <w:sz w:val="16"/>
                <w:szCs w:val="16"/>
                <w:color w:val="auto"/>
              </w:rPr>
            </w:pPr>
          </w:p>
        </w:tc>
        <w:tc>
          <w:tcPr>
            <w:tcW w:w="8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Jul-28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960" w:type="dxa"/>
            <w:vAlign w:val="bottom"/>
            <w:gridSpan w:val="4"/>
          </w:tcPr>
          <w:p>
            <w:pPr>
              <w:spacing w:after="0"/>
              <w:rPr>
                <w:sz w:val="20"/>
                <w:szCs w:val="20"/>
                <w:color w:val="auto"/>
              </w:rPr>
            </w:pPr>
            <w:r>
              <w:rPr>
                <w:rFonts w:ascii="Times New Roman" w:cs="Times New Roman" w:eastAsia="Times New Roman" w:hAnsi="Times New Roman"/>
                <w:sz w:val="14"/>
                <w:szCs w:val="14"/>
                <w:color w:val="auto"/>
              </w:rPr>
              <w:t>estate 4</w:t>
            </w:r>
            <w:r>
              <w:rPr>
                <w:rFonts w:ascii="Times New Roman" w:cs="Times New Roman" w:eastAsia="Times New Roman" w:hAnsi="Times New Roman"/>
                <w:sz w:val="9"/>
                <w:szCs w:val="9"/>
                <w:color w:val="auto"/>
              </w:rPr>
              <w:t>(11)</w:t>
            </w:r>
          </w:p>
        </w:tc>
        <w:tc>
          <w:tcPr>
            <w:tcW w:w="1100" w:type="dxa"/>
            <w:vAlign w:val="bottom"/>
            <w:gridSpan w:val="2"/>
          </w:tcPr>
          <w:p>
            <w:pPr>
              <w:ind w:left="20"/>
              <w:spacing w:after="0" w:line="202" w:lineRule="exact"/>
              <w:rPr>
                <w:sz w:val="20"/>
                <w:szCs w:val="20"/>
                <w:color w:val="auto"/>
              </w:rPr>
            </w:pPr>
            <w:r>
              <w:rPr>
                <w:rFonts w:ascii="Times New Roman" w:cs="Times New Roman" w:eastAsia="Times New Roman" w:hAnsi="Times New Roman"/>
                <w:sz w:val="23"/>
                <w:szCs w:val="23"/>
                <w:color w:val="auto"/>
                <w:vertAlign w:val="subscript"/>
              </w:rPr>
              <w:t>dev</w:t>
            </w:r>
            <w:r>
              <w:rPr>
                <w:rFonts w:ascii="Times New Roman" w:cs="Times New Roman" w:eastAsia="Times New Roman" w:hAnsi="Times New Roman"/>
                <w:sz w:val="8"/>
                <w:szCs w:val="8"/>
                <w:color w:val="auto"/>
              </w:rPr>
              <w:t>(13)</w:t>
            </w:r>
          </w:p>
        </w:tc>
        <w:tc>
          <w:tcPr>
            <w:tcW w:w="1080" w:type="dxa"/>
            <w:vAlign w:val="bottom"/>
            <w:gridSpan w:val="2"/>
            <w:vMerge w:val="continue"/>
          </w:tcPr>
          <w:p>
            <w:pPr>
              <w:spacing w:after="0"/>
              <w:rPr>
                <w:sz w:val="17"/>
                <w:szCs w:val="17"/>
                <w:color w:val="auto"/>
              </w:rPr>
            </w:pPr>
          </w:p>
        </w:tc>
        <w:tc>
          <w:tcPr>
            <w:tcW w:w="88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gridSpan w:val="2"/>
            <w:vMerge w:val="continue"/>
          </w:tcPr>
          <w:p>
            <w:pPr>
              <w:spacing w:after="0"/>
              <w:rPr>
                <w:sz w:val="17"/>
                <w:szCs w:val="17"/>
                <w:color w:val="auto"/>
              </w:rPr>
            </w:pPr>
          </w:p>
        </w:tc>
        <w:tc>
          <w:tcPr>
            <w:tcW w:w="900" w:type="dxa"/>
            <w:vAlign w:val="bottom"/>
            <w:gridSpan w:val="2"/>
            <w:vMerge w:val="continue"/>
          </w:tcPr>
          <w:p>
            <w:pPr>
              <w:spacing w:after="0"/>
              <w:rPr>
                <w:sz w:val="17"/>
                <w:szCs w:val="17"/>
                <w:color w:val="auto"/>
              </w:rPr>
            </w:pPr>
          </w:p>
        </w:tc>
        <w:tc>
          <w:tcPr>
            <w:tcW w:w="920" w:type="dxa"/>
            <w:vAlign w:val="bottom"/>
            <w:gridSpan w:val="2"/>
            <w:vMerge w:val="continue"/>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48"/>
        </w:trPr>
        <w:tc>
          <w:tcPr>
            <w:tcW w:w="20" w:type="dxa"/>
            <w:vAlign w:val="bottom"/>
            <w:shd w:val="clear" w:color="auto" w:fill="CCEEFF"/>
          </w:tcPr>
          <w:p>
            <w:pPr>
              <w:spacing w:after="0"/>
              <w:rPr>
                <w:sz w:val="12"/>
                <w:szCs w:val="12"/>
                <w:color w:val="auto"/>
              </w:rPr>
            </w:pPr>
          </w:p>
        </w:tc>
        <w:tc>
          <w:tcPr>
            <w:tcW w:w="960" w:type="dxa"/>
            <w:vAlign w:val="bottom"/>
            <w:gridSpan w:val="4"/>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Other real</w:t>
            </w:r>
          </w:p>
        </w:tc>
        <w:tc>
          <w:tcPr>
            <w:tcW w:w="1100" w:type="dxa"/>
            <w:vAlign w:val="bottom"/>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Multifamily</w:t>
            </w:r>
          </w:p>
        </w:tc>
        <w:tc>
          <w:tcPr>
            <w:tcW w:w="1080" w:type="dxa"/>
            <w:vAlign w:val="bottom"/>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Arlington, TX</w:t>
            </w:r>
          </w:p>
        </w:tc>
        <w:tc>
          <w:tcPr>
            <w:tcW w:w="8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shd w:val="clear" w:color="auto" w:fill="CCEEFF"/>
          </w:tcPr>
          <w:p>
            <w:pPr>
              <w:spacing w:after="0"/>
              <w:rPr>
                <w:sz w:val="12"/>
                <w:szCs w:val="12"/>
                <w:color w:val="auto"/>
              </w:rPr>
            </w:pPr>
          </w:p>
        </w:tc>
        <w:tc>
          <w:tcPr>
            <w:tcW w:w="118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436 Units</w:t>
            </w:r>
          </w:p>
        </w:tc>
        <w:tc>
          <w:tcPr>
            <w:tcW w:w="80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89%</w:t>
            </w:r>
          </w:p>
        </w:tc>
        <w:tc>
          <w:tcPr>
            <w:tcW w:w="100" w:type="dxa"/>
            <w:vAlign w:val="bottom"/>
            <w:shd w:val="clear" w:color="auto" w:fill="CCEEFF"/>
          </w:tcPr>
          <w:p>
            <w:pPr>
              <w:spacing w:after="0"/>
              <w:rPr>
                <w:sz w:val="12"/>
                <w:szCs w:val="12"/>
                <w:color w:val="auto"/>
              </w:rPr>
            </w:pPr>
          </w:p>
        </w:tc>
        <w:tc>
          <w:tcPr>
            <w:tcW w:w="920" w:type="dxa"/>
            <w:vAlign w:val="bottom"/>
            <w:gridSpan w:val="2"/>
            <w:vMerge w:val="restart"/>
            <w:shd w:val="clear" w:color="auto" w:fill="CCEEFF"/>
          </w:tcPr>
          <w:p>
            <w:pPr>
              <w:jc w:val="center"/>
              <w:ind w:right="100"/>
              <w:spacing w:after="0"/>
              <w:rPr>
                <w:sz w:val="20"/>
                <w:szCs w:val="20"/>
                <w:color w:val="auto"/>
              </w:rPr>
            </w:pPr>
            <w:r>
              <w:rPr>
                <w:rFonts w:ascii="Times New Roman" w:cs="Times New Roman" w:eastAsia="Times New Roman" w:hAnsi="Times New Roman"/>
                <w:sz w:val="14"/>
                <w:szCs w:val="14"/>
                <w:color w:val="auto"/>
              </w:rPr>
              <w:t>n/a</w:t>
            </w:r>
          </w:p>
        </w:tc>
        <w:tc>
          <w:tcPr>
            <w:tcW w:w="160" w:type="dxa"/>
            <w:vAlign w:val="bottom"/>
            <w:shd w:val="clear" w:color="auto" w:fill="CCEEFF"/>
          </w:tcPr>
          <w:p>
            <w:pPr>
              <w:spacing w:after="0"/>
              <w:rPr>
                <w:sz w:val="12"/>
                <w:szCs w:val="12"/>
                <w:color w:val="auto"/>
              </w:rPr>
            </w:pPr>
          </w:p>
        </w:tc>
        <w:tc>
          <w:tcPr>
            <w:tcW w:w="1060" w:type="dxa"/>
            <w:vAlign w:val="bottom"/>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39,383</w:t>
            </w: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86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0" w:type="dxa"/>
            <w:vAlign w:val="bottom"/>
          </w:tcPr>
          <w:p>
            <w:pPr>
              <w:spacing w:after="0"/>
              <w:rPr>
                <w:sz w:val="1"/>
                <w:szCs w:val="1"/>
                <w:color w:val="auto"/>
              </w:rPr>
            </w:pPr>
          </w:p>
        </w:tc>
      </w:tr>
      <w:tr>
        <w:trPr>
          <w:trHeight w:val="203"/>
        </w:trPr>
        <w:tc>
          <w:tcPr>
            <w:tcW w:w="20" w:type="dxa"/>
            <w:vAlign w:val="bottom"/>
            <w:shd w:val="clear" w:color="auto" w:fill="CCEEFF"/>
          </w:tcPr>
          <w:p>
            <w:pPr>
              <w:spacing w:after="0"/>
              <w:rPr>
                <w:sz w:val="17"/>
                <w:szCs w:val="17"/>
                <w:color w:val="auto"/>
              </w:rPr>
            </w:pPr>
          </w:p>
        </w:tc>
        <w:tc>
          <w:tcPr>
            <w:tcW w:w="96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4"/>
                <w:szCs w:val="14"/>
                <w:color w:val="auto"/>
              </w:rPr>
              <w:t>estate 5</w:t>
            </w:r>
          </w:p>
        </w:tc>
        <w:tc>
          <w:tcPr>
            <w:tcW w:w="1100" w:type="dxa"/>
            <w:vAlign w:val="bottom"/>
            <w:gridSpan w:val="2"/>
            <w:vMerge w:val="continue"/>
            <w:shd w:val="clear" w:color="auto" w:fill="CCEEFF"/>
          </w:tcPr>
          <w:p>
            <w:pPr>
              <w:spacing w:after="0"/>
              <w:rPr>
                <w:sz w:val="17"/>
                <w:szCs w:val="17"/>
                <w:color w:val="auto"/>
              </w:rPr>
            </w:pPr>
          </w:p>
        </w:tc>
        <w:tc>
          <w:tcPr>
            <w:tcW w:w="1080" w:type="dxa"/>
            <w:vAlign w:val="bottom"/>
            <w:gridSpan w:val="2"/>
            <w:vMerge w:val="continue"/>
            <w:shd w:val="clear" w:color="auto" w:fill="CCEEFF"/>
          </w:tcPr>
          <w:p>
            <w:pPr>
              <w:spacing w:after="0"/>
              <w:rPr>
                <w:sz w:val="17"/>
                <w:szCs w:val="17"/>
                <w:color w:val="auto"/>
              </w:rPr>
            </w:pPr>
          </w:p>
        </w:tc>
        <w:tc>
          <w:tcPr>
            <w:tcW w:w="88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80" w:type="dxa"/>
            <w:vAlign w:val="bottom"/>
            <w:gridSpan w:val="2"/>
            <w:vMerge w:val="continue"/>
            <w:shd w:val="clear" w:color="auto" w:fill="CCEEFF"/>
          </w:tcPr>
          <w:p>
            <w:pPr>
              <w:spacing w:after="0"/>
              <w:rPr>
                <w:sz w:val="17"/>
                <w:szCs w:val="17"/>
                <w:color w:val="auto"/>
              </w:rPr>
            </w:pPr>
          </w:p>
        </w:tc>
        <w:tc>
          <w:tcPr>
            <w:tcW w:w="80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gridSpan w:val="2"/>
            <w:vMerge w:val="continue"/>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6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960" w:type="dxa"/>
            <w:vAlign w:val="bottom"/>
            <w:gridSpan w:val="4"/>
          </w:tcPr>
          <w:p>
            <w:pPr>
              <w:spacing w:after="0" w:line="149" w:lineRule="exact"/>
              <w:rPr>
                <w:sz w:val="20"/>
                <w:szCs w:val="20"/>
                <w:color w:val="auto"/>
              </w:rPr>
            </w:pPr>
            <w:r>
              <w:rPr>
                <w:rFonts w:ascii="Times New Roman" w:cs="Times New Roman" w:eastAsia="Times New Roman" w:hAnsi="Times New Roman"/>
                <w:sz w:val="14"/>
                <w:szCs w:val="14"/>
                <w:color w:val="auto"/>
              </w:rPr>
              <w:t>Other real</w:t>
            </w:r>
          </w:p>
        </w:tc>
        <w:tc>
          <w:tcPr>
            <w:tcW w:w="11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color w:val="auto"/>
              </w:rPr>
              <w:t>Multifamily</w:t>
            </w:r>
          </w:p>
        </w:tc>
        <w:tc>
          <w:tcPr>
            <w:tcW w:w="108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color w:val="auto"/>
              </w:rPr>
              <w:t>Fort Worth, TX</w:t>
            </w: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Pr>
          <w:p>
            <w:pPr>
              <w:spacing w:after="0"/>
              <w:rPr>
                <w:sz w:val="12"/>
                <w:szCs w:val="12"/>
                <w:color w:val="auto"/>
              </w:rPr>
            </w:pPr>
          </w:p>
        </w:tc>
        <w:tc>
          <w:tcPr>
            <w:tcW w:w="118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354 Units</w:t>
            </w:r>
          </w:p>
        </w:tc>
        <w:tc>
          <w:tcPr>
            <w:tcW w:w="8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90%</w:t>
            </w:r>
          </w:p>
        </w:tc>
        <w:tc>
          <w:tcPr>
            <w:tcW w:w="100" w:type="dxa"/>
            <w:vAlign w:val="bottom"/>
          </w:tcPr>
          <w:p>
            <w:pPr>
              <w:spacing w:after="0"/>
              <w:rPr>
                <w:sz w:val="12"/>
                <w:szCs w:val="12"/>
                <w:color w:val="auto"/>
              </w:rPr>
            </w:pPr>
          </w:p>
        </w:tc>
        <w:tc>
          <w:tcPr>
            <w:tcW w:w="92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color w:val="auto"/>
              </w:rPr>
              <w:t>n/a</w:t>
            </w:r>
          </w:p>
        </w:tc>
        <w:tc>
          <w:tcPr>
            <w:tcW w:w="160" w:type="dxa"/>
            <w:vAlign w:val="bottom"/>
          </w:tcPr>
          <w:p>
            <w:pPr>
              <w:spacing w:after="0"/>
              <w:rPr>
                <w:sz w:val="12"/>
                <w:szCs w:val="12"/>
                <w:color w:val="auto"/>
              </w:rPr>
            </w:pPr>
          </w:p>
        </w:tc>
        <w:tc>
          <w:tcPr>
            <w:tcW w:w="106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31,984</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8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60" w:type="dxa"/>
            <w:vAlign w:val="bottom"/>
            <w:gridSpan w:val="4"/>
          </w:tcPr>
          <w:p>
            <w:pPr>
              <w:spacing w:after="0"/>
              <w:rPr>
                <w:sz w:val="20"/>
                <w:szCs w:val="20"/>
                <w:color w:val="auto"/>
              </w:rPr>
            </w:pPr>
            <w:r>
              <w:rPr>
                <w:rFonts w:ascii="Times New Roman" w:cs="Times New Roman" w:eastAsia="Times New Roman" w:hAnsi="Times New Roman"/>
                <w:sz w:val="14"/>
                <w:szCs w:val="14"/>
                <w:color w:val="auto"/>
              </w:rPr>
              <w:t>estate 6</w:t>
            </w:r>
            <w:r>
              <w:rPr>
                <w:rFonts w:ascii="Times New Roman" w:cs="Times New Roman" w:eastAsia="Times New Roman" w:hAnsi="Times New Roman"/>
                <w:sz w:val="9"/>
                <w:szCs w:val="9"/>
                <w:color w:val="auto"/>
              </w:rPr>
              <w:t>(8)(11)</w:t>
            </w:r>
          </w:p>
        </w:tc>
        <w:tc>
          <w:tcPr>
            <w:tcW w:w="1100" w:type="dxa"/>
            <w:vAlign w:val="bottom"/>
            <w:gridSpan w:val="2"/>
            <w:vMerge w:val="continue"/>
          </w:tcPr>
          <w:p>
            <w:pPr>
              <w:spacing w:after="0"/>
              <w:rPr>
                <w:sz w:val="17"/>
                <w:szCs w:val="17"/>
                <w:color w:val="auto"/>
              </w:rPr>
            </w:pPr>
          </w:p>
        </w:tc>
        <w:tc>
          <w:tcPr>
            <w:tcW w:w="1080" w:type="dxa"/>
            <w:vAlign w:val="bottom"/>
            <w:gridSpan w:val="2"/>
            <w:vMerge w:val="continue"/>
          </w:tcPr>
          <w:p>
            <w:pPr>
              <w:spacing w:after="0"/>
              <w:rPr>
                <w:sz w:val="17"/>
                <w:szCs w:val="17"/>
                <w:color w:val="auto"/>
              </w:rPr>
            </w:pPr>
          </w:p>
        </w:tc>
        <w:tc>
          <w:tcPr>
            <w:tcW w:w="88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gridSpan w:val="2"/>
            <w:vMerge w:val="continue"/>
          </w:tcPr>
          <w:p>
            <w:pPr>
              <w:spacing w:after="0"/>
              <w:rPr>
                <w:sz w:val="17"/>
                <w:szCs w:val="17"/>
                <w:color w:val="auto"/>
              </w:rPr>
            </w:pPr>
          </w:p>
        </w:tc>
        <w:tc>
          <w:tcPr>
            <w:tcW w:w="80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gridSpan w:val="2"/>
            <w:vMerge w:val="continue"/>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3140" w:type="dxa"/>
            <w:vAlign w:val="bottom"/>
            <w:tcBorders>
              <w:top w:val="single" w:sz="8" w:color="CCEEFF"/>
              <w:bottom w:val="single" w:sz="8" w:color="CCEEFF"/>
            </w:tcBorders>
            <w:gridSpan w:val="8"/>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Total/Weighted average other real estate</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180" w:type="dxa"/>
            <w:vAlign w:val="bottom"/>
            <w:tcBorders>
              <w:top w:val="single" w:sz="8" w:color="CCEEFF"/>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n/a</w:t>
            </w:r>
          </w:p>
        </w:tc>
        <w:tc>
          <w:tcPr>
            <w:tcW w:w="800" w:type="dxa"/>
            <w:vAlign w:val="bottom"/>
            <w:tcBorders>
              <w:top w:val="single" w:sz="8" w:color="CCEEFF"/>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79%</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820" w:type="dxa"/>
            <w:vAlign w:val="bottom"/>
            <w:tcBorders>
              <w:top w:val="single" w:sz="8" w:color="CCEEFF"/>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3.0</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267,843</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2,747</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123,989</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860" w:type="dxa"/>
            <w:vAlign w:val="bottom"/>
            <w:tcBorders>
              <w:top w:val="single" w:sz="8" w:color="CCEEFF"/>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tcBorders>
            <w:gridSpan w:val="2"/>
          </w:tcPr>
          <w:p>
            <w:pPr>
              <w:spacing w:after="0" w:line="20" w:lineRule="exact"/>
              <w:rPr>
                <w:sz w:val="1"/>
                <w:szCs w:val="1"/>
                <w:color w:val="auto"/>
              </w:rPr>
            </w:pPr>
          </w:p>
        </w:tc>
        <w:tc>
          <w:tcPr>
            <w:tcW w:w="1080" w:type="dxa"/>
            <w:vAlign w:val="bottom"/>
            <w:tcBorders>
              <w:top w:val="single" w:sz="8" w:color="CCEEFF"/>
            </w:tcBorders>
            <w:gridSpan w:val="2"/>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9"/>
        </w:trPr>
        <w:tc>
          <w:tcPr>
            <w:tcW w:w="20" w:type="dxa"/>
            <w:vAlign w:val="bottom"/>
            <w:tcBorders>
              <w:bottom w:val="single" w:sz="8" w:color="CCEEFF"/>
            </w:tcBorders>
          </w:tcPr>
          <w:p>
            <w:pPr>
              <w:spacing w:after="0"/>
              <w:rPr>
                <w:sz w:val="9"/>
                <w:szCs w:val="9"/>
                <w:color w:val="auto"/>
              </w:rPr>
            </w:pPr>
          </w:p>
        </w:tc>
        <w:tc>
          <w:tcPr>
            <w:tcW w:w="360" w:type="dxa"/>
            <w:vAlign w:val="bottom"/>
            <w:tcBorders>
              <w:bottom w:val="single" w:sz="8" w:color="CCEEFF"/>
            </w:tcBorders>
          </w:tcPr>
          <w:p>
            <w:pPr>
              <w:spacing w:after="0"/>
              <w:rPr>
                <w:sz w:val="9"/>
                <w:szCs w:val="9"/>
                <w:color w:val="auto"/>
              </w:rPr>
            </w:pPr>
          </w:p>
        </w:tc>
        <w:tc>
          <w:tcPr>
            <w:tcW w:w="280" w:type="dxa"/>
            <w:vAlign w:val="bottom"/>
            <w:tcBorders>
              <w:bottom w:val="single" w:sz="8" w:color="CCEEFF"/>
            </w:tcBorders>
          </w:tcPr>
          <w:p>
            <w:pPr>
              <w:spacing w:after="0"/>
              <w:rPr>
                <w:sz w:val="9"/>
                <w:szCs w:val="9"/>
                <w:color w:val="auto"/>
              </w:rPr>
            </w:pPr>
          </w:p>
        </w:tc>
        <w:tc>
          <w:tcPr>
            <w:tcW w:w="20" w:type="dxa"/>
            <w:vAlign w:val="bottom"/>
            <w:tcBorders>
              <w:bottom w:val="single" w:sz="8" w:color="CCEEFF"/>
            </w:tcBorders>
          </w:tcPr>
          <w:p>
            <w:pPr>
              <w:spacing w:after="0"/>
              <w:rPr>
                <w:sz w:val="9"/>
                <w:szCs w:val="9"/>
                <w:color w:val="auto"/>
              </w:rPr>
            </w:pPr>
          </w:p>
        </w:tc>
        <w:tc>
          <w:tcPr>
            <w:tcW w:w="300" w:type="dxa"/>
            <w:vAlign w:val="bottom"/>
            <w:tcBorders>
              <w:bottom w:val="single" w:sz="8" w:color="CCEEFF"/>
            </w:tcBorders>
          </w:tcPr>
          <w:p>
            <w:pPr>
              <w:spacing w:after="0"/>
              <w:rPr>
                <w:sz w:val="9"/>
                <w:szCs w:val="9"/>
                <w:color w:val="auto"/>
              </w:rPr>
            </w:pPr>
          </w:p>
        </w:tc>
        <w:tc>
          <w:tcPr>
            <w:tcW w:w="1020" w:type="dxa"/>
            <w:vAlign w:val="bottom"/>
            <w:tcBorders>
              <w:bottom w:val="single" w:sz="8" w:color="CCEEFF"/>
            </w:tcBorders>
          </w:tcPr>
          <w:p>
            <w:pPr>
              <w:spacing w:after="0"/>
              <w:rPr>
                <w:sz w:val="9"/>
                <w:szCs w:val="9"/>
                <w:color w:val="auto"/>
              </w:rPr>
            </w:pPr>
          </w:p>
        </w:tc>
        <w:tc>
          <w:tcPr>
            <w:tcW w:w="80" w:type="dxa"/>
            <w:vAlign w:val="bottom"/>
            <w:tcBorders>
              <w:bottom w:val="single" w:sz="8" w:color="CCEEFF"/>
            </w:tcBorders>
          </w:tcPr>
          <w:p>
            <w:pPr>
              <w:spacing w:after="0"/>
              <w:rPr>
                <w:sz w:val="9"/>
                <w:szCs w:val="9"/>
                <w:color w:val="auto"/>
              </w:rPr>
            </w:pPr>
          </w:p>
        </w:tc>
        <w:tc>
          <w:tcPr>
            <w:tcW w:w="1000" w:type="dxa"/>
            <w:vAlign w:val="bottom"/>
            <w:tcBorders>
              <w:bottom w:val="single" w:sz="8" w:color="CCEEFF"/>
            </w:tcBorders>
          </w:tcPr>
          <w:p>
            <w:pPr>
              <w:spacing w:after="0"/>
              <w:rPr>
                <w:sz w:val="9"/>
                <w:szCs w:val="9"/>
                <w:color w:val="auto"/>
              </w:rPr>
            </w:pPr>
          </w:p>
        </w:tc>
        <w:tc>
          <w:tcPr>
            <w:tcW w:w="80" w:type="dxa"/>
            <w:vAlign w:val="bottom"/>
            <w:tcBorders>
              <w:bottom w:val="single" w:sz="8" w:color="CCEEFF"/>
            </w:tcBorders>
          </w:tcPr>
          <w:p>
            <w:pPr>
              <w:spacing w:after="0"/>
              <w:rPr>
                <w:sz w:val="9"/>
                <w:szCs w:val="9"/>
                <w:color w:val="auto"/>
              </w:rPr>
            </w:pPr>
          </w:p>
        </w:tc>
        <w:tc>
          <w:tcPr>
            <w:tcW w:w="880" w:type="dxa"/>
            <w:vAlign w:val="bottom"/>
            <w:tcBorders>
              <w:bottom w:val="single" w:sz="8" w:color="auto"/>
            </w:tcBorders>
          </w:tcPr>
          <w:p>
            <w:pPr>
              <w:spacing w:after="0"/>
              <w:rPr>
                <w:sz w:val="9"/>
                <w:szCs w:val="9"/>
                <w:color w:val="auto"/>
              </w:rPr>
            </w:pPr>
          </w:p>
        </w:tc>
        <w:tc>
          <w:tcPr>
            <w:tcW w:w="100" w:type="dxa"/>
            <w:vAlign w:val="bottom"/>
            <w:tcBorders>
              <w:bottom w:val="single" w:sz="8" w:color="CCEEFF"/>
            </w:tcBorders>
          </w:tcPr>
          <w:p>
            <w:pPr>
              <w:spacing w:after="0"/>
              <w:rPr>
                <w:sz w:val="9"/>
                <w:szCs w:val="9"/>
                <w:color w:val="auto"/>
              </w:rPr>
            </w:pPr>
          </w:p>
        </w:tc>
        <w:tc>
          <w:tcPr>
            <w:tcW w:w="1080" w:type="dxa"/>
            <w:vAlign w:val="bottom"/>
            <w:tcBorders>
              <w:bottom w:val="single" w:sz="8" w:color="CCEEFF"/>
            </w:tcBorders>
          </w:tcPr>
          <w:p>
            <w:pPr>
              <w:spacing w:after="0"/>
              <w:rPr>
                <w:sz w:val="9"/>
                <w:szCs w:val="9"/>
                <w:color w:val="auto"/>
              </w:rPr>
            </w:pPr>
          </w:p>
        </w:tc>
        <w:tc>
          <w:tcPr>
            <w:tcW w:w="100" w:type="dxa"/>
            <w:vAlign w:val="bottom"/>
            <w:tcBorders>
              <w:bottom w:val="single" w:sz="8" w:color="CCEEFF"/>
            </w:tcBorders>
          </w:tcPr>
          <w:p>
            <w:pPr>
              <w:spacing w:after="0"/>
              <w:rPr>
                <w:sz w:val="9"/>
                <w:szCs w:val="9"/>
                <w:color w:val="auto"/>
              </w:rPr>
            </w:pPr>
          </w:p>
        </w:tc>
        <w:tc>
          <w:tcPr>
            <w:tcW w:w="800" w:type="dxa"/>
            <w:vAlign w:val="bottom"/>
            <w:tcBorders>
              <w:bottom w:val="single" w:sz="8" w:color="CCEEFF"/>
            </w:tcBorders>
          </w:tcPr>
          <w:p>
            <w:pPr>
              <w:spacing w:after="0"/>
              <w:rPr>
                <w:sz w:val="9"/>
                <w:szCs w:val="9"/>
                <w:color w:val="auto"/>
              </w:rPr>
            </w:pPr>
          </w:p>
        </w:tc>
        <w:tc>
          <w:tcPr>
            <w:tcW w:w="100" w:type="dxa"/>
            <w:vAlign w:val="bottom"/>
            <w:tcBorders>
              <w:bottom w:val="single" w:sz="8" w:color="CCEEFF"/>
            </w:tcBorders>
          </w:tcPr>
          <w:p>
            <w:pPr>
              <w:spacing w:after="0"/>
              <w:rPr>
                <w:sz w:val="9"/>
                <w:szCs w:val="9"/>
                <w:color w:val="auto"/>
              </w:rPr>
            </w:pPr>
          </w:p>
        </w:tc>
        <w:tc>
          <w:tcPr>
            <w:tcW w:w="820" w:type="dxa"/>
            <w:vAlign w:val="bottom"/>
            <w:tcBorders>
              <w:bottom w:val="single" w:sz="8" w:color="CCEEFF"/>
            </w:tcBorders>
          </w:tcPr>
          <w:p>
            <w:pPr>
              <w:spacing w:after="0"/>
              <w:rPr>
                <w:sz w:val="9"/>
                <w:szCs w:val="9"/>
                <w:color w:val="auto"/>
              </w:rPr>
            </w:pPr>
          </w:p>
        </w:tc>
        <w:tc>
          <w:tcPr>
            <w:tcW w:w="100" w:type="dxa"/>
            <w:vAlign w:val="bottom"/>
            <w:tcBorders>
              <w:bottom w:val="single" w:sz="8" w:color="CCEEFF"/>
            </w:tcBorders>
          </w:tcPr>
          <w:p>
            <w:pPr>
              <w:spacing w:after="0"/>
              <w:rPr>
                <w:sz w:val="9"/>
                <w:szCs w:val="9"/>
                <w:color w:val="auto"/>
              </w:rPr>
            </w:pPr>
          </w:p>
        </w:tc>
        <w:tc>
          <w:tcPr>
            <w:tcW w:w="160" w:type="dxa"/>
            <w:vAlign w:val="bottom"/>
            <w:tcBorders>
              <w:bottom w:val="single" w:sz="8" w:color="CCEEFF"/>
            </w:tcBorders>
          </w:tcPr>
          <w:p>
            <w:pPr>
              <w:spacing w:after="0"/>
              <w:rPr>
                <w:sz w:val="9"/>
                <w:szCs w:val="9"/>
                <w:color w:val="auto"/>
              </w:rPr>
            </w:pPr>
          </w:p>
        </w:tc>
        <w:tc>
          <w:tcPr>
            <w:tcW w:w="1060" w:type="dxa"/>
            <w:vAlign w:val="bottom"/>
            <w:tcBorders>
              <w:bottom w:val="single" w:sz="8" w:color="CCEEFF"/>
            </w:tcBorders>
          </w:tcPr>
          <w:p>
            <w:pPr>
              <w:spacing w:after="0"/>
              <w:rPr>
                <w:sz w:val="9"/>
                <w:szCs w:val="9"/>
                <w:color w:val="auto"/>
              </w:rPr>
            </w:pPr>
          </w:p>
        </w:tc>
        <w:tc>
          <w:tcPr>
            <w:tcW w:w="80" w:type="dxa"/>
            <w:vAlign w:val="bottom"/>
            <w:tcBorders>
              <w:bottom w:val="single" w:sz="8" w:color="CCEEFF"/>
            </w:tcBorders>
          </w:tcPr>
          <w:p>
            <w:pPr>
              <w:spacing w:after="0"/>
              <w:rPr>
                <w:sz w:val="9"/>
                <w:szCs w:val="9"/>
                <w:color w:val="auto"/>
              </w:rPr>
            </w:pPr>
          </w:p>
        </w:tc>
        <w:tc>
          <w:tcPr>
            <w:tcW w:w="160" w:type="dxa"/>
            <w:vAlign w:val="bottom"/>
            <w:tcBorders>
              <w:bottom w:val="single" w:sz="8" w:color="CCEEFF"/>
            </w:tcBorders>
          </w:tcPr>
          <w:p>
            <w:pPr>
              <w:spacing w:after="0"/>
              <w:rPr>
                <w:sz w:val="9"/>
                <w:szCs w:val="9"/>
                <w:color w:val="auto"/>
              </w:rPr>
            </w:pPr>
          </w:p>
        </w:tc>
        <w:tc>
          <w:tcPr>
            <w:tcW w:w="760" w:type="dxa"/>
            <w:vAlign w:val="bottom"/>
            <w:tcBorders>
              <w:bottom w:val="single" w:sz="8" w:color="CCEEFF"/>
            </w:tcBorders>
          </w:tcPr>
          <w:p>
            <w:pPr>
              <w:spacing w:after="0"/>
              <w:rPr>
                <w:sz w:val="9"/>
                <w:szCs w:val="9"/>
                <w:color w:val="auto"/>
              </w:rPr>
            </w:pPr>
          </w:p>
        </w:tc>
        <w:tc>
          <w:tcPr>
            <w:tcW w:w="100" w:type="dxa"/>
            <w:vAlign w:val="bottom"/>
            <w:tcBorders>
              <w:bottom w:val="single" w:sz="8" w:color="CCEEFF"/>
            </w:tcBorders>
          </w:tcPr>
          <w:p>
            <w:pPr>
              <w:spacing w:after="0"/>
              <w:rPr>
                <w:sz w:val="9"/>
                <w:szCs w:val="9"/>
                <w:color w:val="auto"/>
              </w:rPr>
            </w:pPr>
          </w:p>
        </w:tc>
        <w:tc>
          <w:tcPr>
            <w:tcW w:w="100" w:type="dxa"/>
            <w:vAlign w:val="bottom"/>
            <w:tcBorders>
              <w:bottom w:val="single" w:sz="8" w:color="CCEEFF"/>
            </w:tcBorders>
          </w:tcPr>
          <w:p>
            <w:pPr>
              <w:spacing w:after="0"/>
              <w:rPr>
                <w:sz w:val="9"/>
                <w:szCs w:val="9"/>
                <w:color w:val="auto"/>
              </w:rPr>
            </w:pPr>
          </w:p>
        </w:tc>
        <w:tc>
          <w:tcPr>
            <w:tcW w:w="720" w:type="dxa"/>
            <w:vAlign w:val="bottom"/>
            <w:tcBorders>
              <w:bottom w:val="single" w:sz="8" w:color="CCEEFF"/>
            </w:tcBorders>
          </w:tcPr>
          <w:p>
            <w:pPr>
              <w:spacing w:after="0"/>
              <w:rPr>
                <w:sz w:val="9"/>
                <w:szCs w:val="9"/>
                <w:color w:val="auto"/>
              </w:rPr>
            </w:pPr>
          </w:p>
        </w:tc>
        <w:tc>
          <w:tcPr>
            <w:tcW w:w="100" w:type="dxa"/>
            <w:vAlign w:val="bottom"/>
            <w:tcBorders>
              <w:bottom w:val="single" w:sz="8" w:color="CCEEFF"/>
            </w:tcBorders>
          </w:tcPr>
          <w:p>
            <w:pPr>
              <w:spacing w:after="0"/>
              <w:rPr>
                <w:sz w:val="9"/>
                <w:szCs w:val="9"/>
                <w:color w:val="auto"/>
              </w:rPr>
            </w:pPr>
          </w:p>
        </w:tc>
        <w:tc>
          <w:tcPr>
            <w:tcW w:w="860" w:type="dxa"/>
            <w:vAlign w:val="bottom"/>
            <w:tcBorders>
              <w:bottom w:val="single" w:sz="8" w:color="CCEEFF"/>
            </w:tcBorders>
          </w:tcPr>
          <w:p>
            <w:pPr>
              <w:spacing w:after="0"/>
              <w:rPr>
                <w:sz w:val="9"/>
                <w:szCs w:val="9"/>
                <w:color w:val="auto"/>
              </w:rPr>
            </w:pPr>
          </w:p>
        </w:tc>
        <w:tc>
          <w:tcPr>
            <w:tcW w:w="0" w:type="dxa"/>
            <w:vAlign w:val="bottom"/>
          </w:tcPr>
          <w:p>
            <w:pPr>
              <w:spacing w:after="0"/>
              <w:rPr>
                <w:sz w:val="1"/>
                <w:szCs w:val="1"/>
                <w:color w:val="auto"/>
              </w:rPr>
            </w:pPr>
          </w:p>
        </w:tc>
      </w:tr>
      <w:tr>
        <w:trPr>
          <w:trHeight w:val="235"/>
        </w:trPr>
        <w:tc>
          <w:tcPr>
            <w:tcW w:w="20" w:type="dxa"/>
            <w:vAlign w:val="bottom"/>
            <w:tcBorders>
              <w:bottom w:val="single" w:sz="8" w:color="CCEEFF"/>
            </w:tcBorders>
            <w:shd w:val="clear" w:color="auto" w:fill="CCEEFF"/>
          </w:tcPr>
          <w:p>
            <w:pPr>
              <w:spacing w:after="0"/>
              <w:rPr>
                <w:sz w:val="19"/>
                <w:szCs w:val="19"/>
                <w:color w:val="auto"/>
              </w:rPr>
            </w:pPr>
          </w:p>
        </w:tc>
        <w:tc>
          <w:tcPr>
            <w:tcW w:w="3140" w:type="dxa"/>
            <w:vAlign w:val="bottom"/>
            <w:tcBorders>
              <w:bottom w:val="single" w:sz="8" w:color="CCEEFF"/>
            </w:tcBorders>
            <w:gridSpan w:val="8"/>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Total net leased and other real estate</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w:t>
            </w:r>
          </w:p>
        </w:tc>
        <w:tc>
          <w:tcPr>
            <w:tcW w:w="100" w:type="dxa"/>
            <w:vAlign w:val="bottom"/>
            <w:tcBorders>
              <w:bottom w:val="single" w:sz="8" w:color="CCEEFF"/>
            </w:tcBorders>
            <w:shd w:val="clear" w:color="auto" w:fill="CCEEFF"/>
          </w:tcPr>
          <w:p>
            <w:pPr>
              <w:spacing w:after="0"/>
              <w:rPr>
                <w:sz w:val="19"/>
                <w:szCs w:val="19"/>
                <w:color w:val="auto"/>
              </w:rPr>
            </w:pPr>
          </w:p>
        </w:tc>
        <w:tc>
          <w:tcPr>
            <w:tcW w:w="10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7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7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080" w:type="dxa"/>
            <w:vAlign w:val="bottom"/>
            <w:tcBorders>
              <w:top w:val="single" w:sz="8" w:color="CCEEFF"/>
              <w:bottom w:val="single" w:sz="8" w:color="CCEEFF"/>
            </w:tcBorders>
            <w:gridSpan w:val="8"/>
            <w:vMerge w:val="restart"/>
          </w:tcPr>
          <w:p>
            <w:pPr>
              <w:spacing w:after="0"/>
              <w:rPr>
                <w:sz w:val="20"/>
                <w:szCs w:val="20"/>
                <w:color w:val="auto"/>
              </w:rPr>
            </w:pPr>
            <w:r>
              <w:rPr>
                <w:rFonts w:ascii="Times New Roman" w:cs="Times New Roman" w:eastAsia="Times New Roman" w:hAnsi="Times New Roman"/>
                <w:sz w:val="14"/>
                <w:szCs w:val="14"/>
                <w:color w:val="auto"/>
              </w:rPr>
              <w:t>_________________________________________</w:t>
            </w:r>
          </w:p>
        </w:tc>
        <w:tc>
          <w:tcPr>
            <w:tcW w:w="8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3080" w:type="dxa"/>
            <w:vAlign w:val="bottom"/>
            <w:gridSpan w:val="8"/>
            <w:vMerge w:val="continue"/>
          </w:tcPr>
          <w:p>
            <w:pPr>
              <w:spacing w:after="0"/>
              <w:rPr>
                <w:sz w:val="19"/>
                <w:szCs w:val="19"/>
                <w:color w:val="auto"/>
              </w:rPr>
            </w:pPr>
          </w:p>
        </w:tc>
        <w:tc>
          <w:tcPr>
            <w:tcW w:w="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bl>
    <w:p>
      <w:pPr>
        <w:ind w:left="320" w:hanging="312"/>
        <w:spacing w:after="0"/>
        <w:tabs>
          <w:tab w:leader="none" w:pos="320" w:val="left"/>
        </w:tabs>
        <w:numPr>
          <w:ilvl w:val="0"/>
          <w:numId w:val="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Rentable square feet based on carrying value at our share as of September 30, 2026.</w:t>
      </w:r>
    </w:p>
    <w:p>
      <w:pPr>
        <w:spacing w:after="0" w:line="14" w:lineRule="exact"/>
        <w:rPr>
          <w:rFonts w:ascii="Times New Roman" w:cs="Times New Roman" w:eastAsia="Times New Roman" w:hAnsi="Times New Roman"/>
          <w:sz w:val="14"/>
          <w:szCs w:val="14"/>
          <w:color w:val="auto"/>
        </w:rPr>
      </w:pPr>
    </w:p>
    <w:p>
      <w:pPr>
        <w:ind w:left="320" w:hanging="312"/>
        <w:spacing w:after="0"/>
        <w:tabs>
          <w:tab w:leader="none" w:pos="320" w:val="left"/>
        </w:tabs>
        <w:numPr>
          <w:ilvl w:val="0"/>
          <w:numId w:val="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the percent leased as of September 30, 2026. Weighted average calculation based on carrying value at our share as of September 30, 2026.</w:t>
      </w:r>
    </w:p>
    <w:p>
      <w:pPr>
        <w:spacing w:after="0" w:line="14" w:lineRule="exact"/>
        <w:rPr>
          <w:rFonts w:ascii="Times New Roman" w:cs="Times New Roman" w:eastAsia="Times New Roman" w:hAnsi="Times New Roman"/>
          <w:sz w:val="14"/>
          <w:szCs w:val="14"/>
          <w:color w:val="auto"/>
        </w:rPr>
      </w:pPr>
    </w:p>
    <w:p>
      <w:pPr>
        <w:ind w:left="340" w:hanging="332"/>
        <w:spacing w:after="0" w:line="254" w:lineRule="auto"/>
        <w:tabs>
          <w:tab w:leader="none" w:pos="332" w:val="left"/>
        </w:tabs>
        <w:numPr>
          <w:ilvl w:val="0"/>
          <w:numId w:val="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in-place leases (defined as occupied and paying leases) as of September 30, 2026, and assumes that no renewal options are exercised. Weighted average calculation based on carrying value at our share as of September 30, 2026.</w:t>
      </w:r>
    </w:p>
    <w:p>
      <w:pPr>
        <w:ind w:left="340" w:hanging="332"/>
        <w:spacing w:after="0" w:line="259" w:lineRule="auto"/>
        <w:tabs>
          <w:tab w:leader="none" w:pos="332" w:val="left"/>
        </w:tabs>
        <w:numPr>
          <w:ilvl w:val="0"/>
          <w:numId w:val="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undepreciated book value at our share net of associated principal amounts of debt at our share as of September 30, 2026. Undepreciated book value per share is a non-GAAP financial measure. Refer to “Undepreciated Book Value Per Share” in “Non-GAAP Supplemental Measures” for further information.</w:t>
      </w:r>
    </w:p>
    <w:p>
      <w:pPr>
        <w:ind w:left="320" w:hanging="312"/>
        <w:spacing w:after="0"/>
        <w:tabs>
          <w:tab w:leader="none" w:pos="320" w:val="left"/>
        </w:tabs>
        <w:numPr>
          <w:ilvl w:val="0"/>
          <w:numId w:val="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straight line rent receivable as of September 30, 2026. This is included in “Receivables, net” on our consolidated balance sheet.</w:t>
      </w:r>
    </w:p>
    <w:p>
      <w:pPr>
        <w:spacing w:after="0" w:line="14" w:lineRule="exact"/>
        <w:rPr>
          <w:rFonts w:ascii="Times New Roman" w:cs="Times New Roman" w:eastAsia="Times New Roman" w:hAnsi="Times New Roman"/>
          <w:sz w:val="14"/>
          <w:szCs w:val="14"/>
          <w:color w:val="auto"/>
        </w:rPr>
      </w:pPr>
    </w:p>
    <w:p>
      <w:pPr>
        <w:ind w:left="320" w:hanging="312"/>
        <w:spacing w:after="0"/>
        <w:tabs>
          <w:tab w:leader="none" w:pos="320" w:val="left"/>
        </w:tabs>
        <w:numPr>
          <w:ilvl w:val="0"/>
          <w:numId w:val="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principal amount of debt at our share as of September 30, 2026.</w:t>
      </w:r>
    </w:p>
    <w:p>
      <w:pPr>
        <w:spacing w:after="0" w:line="4" w:lineRule="exact"/>
        <w:rPr>
          <w:rFonts w:ascii="Times New Roman" w:cs="Times New Roman" w:eastAsia="Times New Roman" w:hAnsi="Times New Roman"/>
          <w:sz w:val="14"/>
          <w:szCs w:val="14"/>
          <w:color w:val="auto"/>
        </w:rPr>
      </w:pPr>
    </w:p>
    <w:p>
      <w:pPr>
        <w:ind w:left="320" w:hanging="312"/>
        <w:spacing w:after="0"/>
        <w:tabs>
          <w:tab w:leader="none" w:pos="320" w:val="left"/>
        </w:tabs>
        <w:numPr>
          <w:ilvl w:val="0"/>
          <w:numId w:val="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mortgage payable collateralized by Net lease 1 is in maturity default. We are currently negotiating an extension with our lender.</w:t>
      </w:r>
    </w:p>
    <w:p>
      <w:pPr>
        <w:spacing w:after="0" w:line="11" w:lineRule="exact"/>
        <w:rPr>
          <w:rFonts w:ascii="Times New Roman" w:cs="Times New Roman" w:eastAsia="Times New Roman" w:hAnsi="Times New Roman"/>
          <w:sz w:val="14"/>
          <w:szCs w:val="14"/>
          <w:color w:val="auto"/>
        </w:rPr>
      </w:pPr>
    </w:p>
    <w:p>
      <w:pPr>
        <w:ind w:left="320" w:hanging="312"/>
        <w:spacing w:after="0"/>
        <w:tabs>
          <w:tab w:leader="none" w:pos="320" w:val="left"/>
        </w:tabs>
        <w:numPr>
          <w:ilvl w:val="0"/>
          <w:numId w:val="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a property where we previously recorded impairment. For Net lease 3, three individual properties were impaired.</w:t>
      </w:r>
    </w:p>
    <w:p>
      <w:pPr>
        <w:spacing w:after="0" w:line="14" w:lineRule="exact"/>
        <w:rPr>
          <w:rFonts w:ascii="Times New Roman" w:cs="Times New Roman" w:eastAsia="Times New Roman" w:hAnsi="Times New Roman"/>
          <w:sz w:val="14"/>
          <w:szCs w:val="14"/>
          <w:color w:val="auto"/>
        </w:rPr>
      </w:pPr>
    </w:p>
    <w:p>
      <w:pPr>
        <w:ind w:left="320" w:hanging="312"/>
        <w:spacing w:after="0"/>
        <w:tabs>
          <w:tab w:leader="none" w:pos="320" w:val="left"/>
        </w:tabs>
        <w:numPr>
          <w:ilvl w:val="0"/>
          <w:numId w:val="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Net lease 3 consists of two separate mortgage notes.</w:t>
      </w:r>
    </w:p>
    <w:p>
      <w:pPr>
        <w:spacing w:after="0" w:line="14" w:lineRule="exact"/>
        <w:rPr>
          <w:rFonts w:ascii="Times New Roman" w:cs="Times New Roman" w:eastAsia="Times New Roman" w:hAnsi="Times New Roman"/>
          <w:sz w:val="14"/>
          <w:szCs w:val="14"/>
          <w:color w:val="auto"/>
        </w:rPr>
      </w:pPr>
    </w:p>
    <w:p>
      <w:pPr>
        <w:ind w:left="340" w:right="20" w:hanging="332"/>
        <w:spacing w:after="0" w:line="243" w:lineRule="auto"/>
        <w:tabs>
          <w:tab w:leader="none" w:pos="337" w:val="left"/>
        </w:tabs>
        <w:numPr>
          <w:ilvl w:val="0"/>
          <w:numId w:val="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During the second quarter of 2026, we received notice that we were in default on the mortgage notes payable cross-collateralized by five properties included in Net Lease 3, Net Lease 4 and Net Lease 6. As a result, we deconsolidated two properties collateralizing Net Lease 3 and the property collateralizing Net Lease 6.</w:t>
      </w:r>
    </w:p>
    <w:p>
      <w:pPr>
        <w:spacing w:after="0" w:line="1" w:lineRule="exact"/>
        <w:rPr>
          <w:rFonts w:ascii="Times New Roman" w:cs="Times New Roman" w:eastAsia="Times New Roman" w:hAnsi="Times New Roman"/>
          <w:sz w:val="14"/>
          <w:szCs w:val="14"/>
          <w:color w:val="auto"/>
        </w:rPr>
      </w:pPr>
    </w:p>
    <w:p>
      <w:pPr>
        <w:ind w:left="320" w:hanging="312"/>
        <w:spacing w:after="0"/>
        <w:tabs>
          <w:tab w:leader="none" w:pos="320" w:val="left"/>
        </w:tabs>
        <w:numPr>
          <w:ilvl w:val="0"/>
          <w:numId w:val="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Property was acquired through foreclosure or deed-in-lieu of foreclosure.</w:t>
      </w:r>
    </w:p>
    <w:p>
      <w:pPr>
        <w:spacing w:after="0" w:line="11" w:lineRule="exact"/>
        <w:rPr>
          <w:rFonts w:ascii="Times New Roman" w:cs="Times New Roman" w:eastAsia="Times New Roman" w:hAnsi="Times New Roman"/>
          <w:sz w:val="14"/>
          <w:szCs w:val="14"/>
          <w:color w:val="auto"/>
        </w:rPr>
      </w:pPr>
    </w:p>
    <w:p>
      <w:pPr>
        <w:ind w:left="320" w:hanging="312"/>
        <w:spacing w:after="0"/>
        <w:tabs>
          <w:tab w:leader="none" w:pos="320" w:val="left"/>
        </w:tabs>
        <w:numPr>
          <w:ilvl w:val="0"/>
          <w:numId w:val="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current maturity date is December 2027, with a one-year extension available, subject to satisfaction of certain customary conditions set forth in the governing documents.</w:t>
      </w:r>
    </w:p>
    <w:p>
      <w:pPr>
        <w:spacing w:after="0" w:line="14" w:lineRule="exact"/>
        <w:rPr>
          <w:rFonts w:ascii="Times New Roman" w:cs="Times New Roman" w:eastAsia="Times New Roman" w:hAnsi="Times New Roman"/>
          <w:sz w:val="14"/>
          <w:szCs w:val="14"/>
          <w:color w:val="auto"/>
        </w:rPr>
      </w:pPr>
    </w:p>
    <w:p>
      <w:pPr>
        <w:ind w:left="320" w:hanging="312"/>
        <w:spacing w:after="0"/>
        <w:tabs>
          <w:tab w:leader="none" w:pos="320" w:val="left"/>
        </w:tabs>
        <w:numPr>
          <w:ilvl w:val="0"/>
          <w:numId w:val="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a multifamily construction/development project.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4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 summarizes our portfolio results of operations for the three months ended September 30, 2026 and June 30, 2026, (dollars in thousands):</w:t>
      </w:r>
    </w:p>
    <w:p>
      <w:pPr>
        <w:spacing w:after="0" w:line="71"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64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520" w:type="dxa"/>
            <w:vAlign w:val="bottom"/>
            <w:gridSpan w:val="2"/>
          </w:tcPr>
          <w:p>
            <w:pPr>
              <w:jc w:val="center"/>
              <w:ind w:right="260"/>
              <w:spacing w:after="0"/>
              <w:rPr>
                <w:sz w:val="20"/>
                <w:szCs w:val="20"/>
                <w:color w:val="auto"/>
              </w:rPr>
            </w:pPr>
            <w:r>
              <w:rPr>
                <w:rFonts w:ascii="Times New Roman" w:cs="Times New Roman" w:eastAsia="Times New Roman" w:hAnsi="Times New Roman"/>
                <w:sz w:val="13"/>
                <w:szCs w:val="13"/>
                <w:b w:val="1"/>
                <w:bCs w:val="1"/>
                <w:color w:val="auto"/>
                <w:w w:val="96"/>
              </w:rPr>
              <w:t>Three Months Ended</w:t>
            </w:r>
          </w:p>
        </w:tc>
        <w:tc>
          <w:tcPr>
            <w:tcW w:w="1640" w:type="dxa"/>
            <w:vAlign w:val="bottom"/>
            <w:gridSpan w:val="3"/>
          </w:tcPr>
          <w:p>
            <w:pPr>
              <w:ind w:left="60"/>
              <w:spacing w:after="0"/>
              <w:rPr>
                <w:sz w:val="20"/>
                <w:szCs w:val="20"/>
                <w:color w:val="auto"/>
              </w:rPr>
            </w:pPr>
            <w:r>
              <w:rPr>
                <w:rFonts w:ascii="Times New Roman" w:cs="Times New Roman" w:eastAsia="Times New Roman" w:hAnsi="Times New Roman"/>
                <w:sz w:val="13"/>
                <w:szCs w:val="13"/>
                <w:b w:val="1"/>
                <w:bCs w:val="1"/>
                <w:color w:val="auto"/>
              </w:rPr>
              <w:t>Three Months Ended June</w:t>
            </w:r>
          </w:p>
        </w:tc>
        <w:tc>
          <w:tcPr>
            <w:tcW w:w="200" w:type="dxa"/>
            <w:vAlign w:val="bottom"/>
          </w:tcPr>
          <w:p>
            <w:pPr>
              <w:spacing w:after="0"/>
              <w:rPr>
                <w:sz w:val="12"/>
                <w:szCs w:val="12"/>
                <w:color w:val="auto"/>
              </w:rPr>
            </w:pPr>
          </w:p>
        </w:tc>
        <w:tc>
          <w:tcPr>
            <w:tcW w:w="1300" w:type="dxa"/>
            <w:vAlign w:val="bottom"/>
          </w:tcPr>
          <w:p>
            <w:pPr>
              <w:spacing w:after="0"/>
              <w:rPr>
                <w:sz w:val="12"/>
                <w:szCs w:val="12"/>
                <w:color w:val="auto"/>
              </w:rPr>
            </w:pPr>
          </w:p>
        </w:tc>
      </w:tr>
      <w:tr>
        <w:trPr>
          <w:trHeight w:val="183"/>
        </w:trPr>
        <w:tc>
          <w:tcPr>
            <w:tcW w:w="64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52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w w:val="95"/>
              </w:rPr>
              <w:t>September 30,</w:t>
            </w:r>
          </w:p>
        </w:tc>
        <w:tc>
          <w:tcPr>
            <w:tcW w:w="360" w:type="dxa"/>
            <w:vAlign w:val="bottom"/>
          </w:tcPr>
          <w:p>
            <w:pPr>
              <w:spacing w:after="0"/>
              <w:rPr>
                <w:sz w:val="15"/>
                <w:szCs w:val="15"/>
                <w:color w:val="auto"/>
              </w:rPr>
            </w:pPr>
          </w:p>
        </w:tc>
        <w:tc>
          <w:tcPr>
            <w:tcW w:w="1180" w:type="dxa"/>
            <w:vAlign w:val="bottom"/>
          </w:tcPr>
          <w:p>
            <w:pPr>
              <w:jc w:val="right"/>
              <w:ind w:right="629"/>
              <w:spacing w:after="0"/>
              <w:rPr>
                <w:sz w:val="20"/>
                <w:szCs w:val="20"/>
                <w:color w:val="auto"/>
              </w:rPr>
            </w:pPr>
            <w:r>
              <w:rPr>
                <w:rFonts w:ascii="Times New Roman" w:cs="Times New Roman" w:eastAsia="Times New Roman" w:hAnsi="Times New Roman"/>
                <w:sz w:val="13"/>
                <w:szCs w:val="13"/>
                <w:b w:val="1"/>
                <w:bCs w:val="1"/>
                <w:color w:val="auto"/>
              </w:rPr>
              <w:t>30,</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00" w:type="dxa"/>
            <w:vAlign w:val="bottom"/>
          </w:tcPr>
          <w:p>
            <w:pPr>
              <w:jc w:val="right"/>
              <w:ind w:right="229"/>
              <w:spacing w:after="0"/>
              <w:rPr>
                <w:sz w:val="20"/>
                <w:szCs w:val="20"/>
                <w:color w:val="auto"/>
              </w:rPr>
            </w:pPr>
            <w:r>
              <w:rPr>
                <w:rFonts w:ascii="Times New Roman" w:cs="Times New Roman" w:eastAsia="Times New Roman" w:hAnsi="Times New Roman"/>
                <w:sz w:val="13"/>
                <w:szCs w:val="13"/>
                <w:b w:val="1"/>
                <w:bCs w:val="1"/>
                <w:color w:val="auto"/>
              </w:rPr>
              <w:t>Q3 ‘26 vs Q2 ‘26</w:t>
            </w:r>
          </w:p>
        </w:tc>
      </w:tr>
      <w:tr>
        <w:trPr>
          <w:trHeight w:val="183"/>
        </w:trPr>
        <w:tc>
          <w:tcPr>
            <w:tcW w:w="6440" w:type="dxa"/>
            <w:vAlign w:val="bottom"/>
            <w:tcBorders>
              <w:bottom w:val="single" w:sz="8" w:color="CCEEFF"/>
            </w:tcBorders>
          </w:tcPr>
          <w:p>
            <w:pPr>
              <w:spacing w:after="0"/>
              <w:rPr>
                <w:sz w:val="15"/>
                <w:szCs w:val="15"/>
                <w:color w:val="auto"/>
              </w:rPr>
            </w:pPr>
          </w:p>
        </w:tc>
        <w:tc>
          <w:tcPr>
            <w:tcW w:w="140" w:type="dxa"/>
            <w:vAlign w:val="bottom"/>
            <w:tcBorders>
              <w:top w:val="single" w:sz="8" w:color="auto"/>
              <w:bottom w:val="single" w:sz="8" w:color="auto"/>
            </w:tcBorders>
          </w:tcPr>
          <w:p>
            <w:pPr>
              <w:spacing w:after="0"/>
              <w:rPr>
                <w:sz w:val="15"/>
                <w:szCs w:val="15"/>
                <w:color w:val="auto"/>
              </w:rPr>
            </w:pPr>
          </w:p>
        </w:tc>
        <w:tc>
          <w:tcPr>
            <w:tcW w:w="1420" w:type="dxa"/>
            <w:vAlign w:val="bottom"/>
            <w:tcBorders>
              <w:top w:val="single" w:sz="8" w:color="auto"/>
              <w:bottom w:val="single" w:sz="8" w:color="auto"/>
            </w:tcBorders>
          </w:tcPr>
          <w:p>
            <w:pPr>
              <w:jc w:val="center"/>
              <w:ind w:right="69"/>
              <w:spacing w:after="0"/>
              <w:rPr>
                <w:sz w:val="20"/>
                <w:szCs w:val="20"/>
                <w:color w:val="auto"/>
              </w:rPr>
            </w:pPr>
            <w:r>
              <w:rPr>
                <w:rFonts w:ascii="Times New Roman" w:cs="Times New Roman" w:eastAsia="Times New Roman" w:hAnsi="Times New Roman"/>
                <w:sz w:val="13"/>
                <w:szCs w:val="13"/>
                <w:b w:val="1"/>
                <w:bCs w:val="1"/>
                <w:color w:val="auto"/>
                <w:w w:val="92"/>
              </w:rPr>
              <w:t>2026</w:t>
            </w:r>
          </w:p>
        </w:tc>
        <w:tc>
          <w:tcPr>
            <w:tcW w:w="100" w:type="dxa"/>
            <w:vAlign w:val="bottom"/>
            <w:tcBorders>
              <w:bottom w:val="single" w:sz="8" w:color="CCEEFF"/>
            </w:tcBorders>
          </w:tcPr>
          <w:p>
            <w:pPr>
              <w:spacing w:after="0"/>
              <w:rPr>
                <w:sz w:val="15"/>
                <w:szCs w:val="15"/>
                <w:color w:val="auto"/>
              </w:rPr>
            </w:pPr>
          </w:p>
        </w:tc>
        <w:tc>
          <w:tcPr>
            <w:tcW w:w="360" w:type="dxa"/>
            <w:vAlign w:val="bottom"/>
            <w:tcBorders>
              <w:top w:val="single" w:sz="8" w:color="auto"/>
              <w:bottom w:val="single" w:sz="8" w:color="auto"/>
            </w:tcBorders>
          </w:tcPr>
          <w:p>
            <w:pPr>
              <w:spacing w:after="0"/>
              <w:rPr>
                <w:sz w:val="15"/>
                <w:szCs w:val="15"/>
                <w:color w:val="auto"/>
              </w:rPr>
            </w:pPr>
          </w:p>
        </w:tc>
        <w:tc>
          <w:tcPr>
            <w:tcW w:w="1180" w:type="dxa"/>
            <w:vAlign w:val="bottom"/>
            <w:tcBorders>
              <w:top w:val="single" w:sz="8" w:color="auto"/>
              <w:bottom w:val="single" w:sz="8" w:color="auto"/>
            </w:tcBorders>
          </w:tcPr>
          <w:p>
            <w:pPr>
              <w:jc w:val="right"/>
              <w:ind w:right="569"/>
              <w:spacing w:after="0"/>
              <w:rPr>
                <w:sz w:val="20"/>
                <w:szCs w:val="20"/>
                <w:color w:val="auto"/>
              </w:rPr>
            </w:pPr>
            <w:r>
              <w:rPr>
                <w:rFonts w:ascii="Times New Roman" w:cs="Times New Roman" w:eastAsia="Times New Roman" w:hAnsi="Times New Roman"/>
                <w:sz w:val="13"/>
                <w:szCs w:val="13"/>
                <w:b w:val="1"/>
                <w:bCs w:val="1"/>
                <w:color w:val="auto"/>
              </w:rPr>
              <w:t>2026</w:t>
            </w:r>
          </w:p>
        </w:tc>
        <w:tc>
          <w:tcPr>
            <w:tcW w:w="100" w:type="dxa"/>
            <w:vAlign w:val="bottom"/>
            <w:tcBorders>
              <w:bottom w:val="single" w:sz="8" w:color="CCEEFF"/>
            </w:tcBorders>
          </w:tcPr>
          <w:p>
            <w:pPr>
              <w:spacing w:after="0"/>
              <w:rPr>
                <w:sz w:val="15"/>
                <w:szCs w:val="15"/>
                <w:color w:val="auto"/>
              </w:rPr>
            </w:pPr>
          </w:p>
        </w:tc>
        <w:tc>
          <w:tcPr>
            <w:tcW w:w="200" w:type="dxa"/>
            <w:vAlign w:val="bottom"/>
            <w:tcBorders>
              <w:top w:val="single" w:sz="8" w:color="auto"/>
              <w:bottom w:val="single" w:sz="8" w:color="auto"/>
            </w:tcBorders>
          </w:tcPr>
          <w:p>
            <w:pPr>
              <w:spacing w:after="0"/>
              <w:rPr>
                <w:sz w:val="15"/>
                <w:szCs w:val="15"/>
                <w:color w:val="auto"/>
              </w:rPr>
            </w:pPr>
          </w:p>
        </w:tc>
        <w:tc>
          <w:tcPr>
            <w:tcW w:w="1300" w:type="dxa"/>
            <w:vAlign w:val="bottom"/>
            <w:tcBorders>
              <w:top w:val="single" w:sz="8" w:color="auto"/>
              <w:bottom w:val="single" w:sz="8" w:color="auto"/>
            </w:tcBorders>
          </w:tcPr>
          <w:p>
            <w:pPr>
              <w:jc w:val="right"/>
              <w:ind w:right="469"/>
              <w:spacing w:after="0"/>
              <w:rPr>
                <w:sz w:val="20"/>
                <w:szCs w:val="20"/>
                <w:color w:val="auto"/>
              </w:rPr>
            </w:pPr>
            <w:r>
              <w:rPr>
                <w:rFonts w:ascii="Times New Roman" w:cs="Times New Roman" w:eastAsia="Times New Roman" w:hAnsi="Times New Roman"/>
                <w:sz w:val="13"/>
                <w:szCs w:val="13"/>
                <w:b w:val="1"/>
                <w:bCs w:val="1"/>
                <w:color w:val="auto"/>
              </w:rPr>
              <w:t>Change</w:t>
            </w:r>
          </w:p>
        </w:tc>
      </w:tr>
      <w:tr>
        <w:trPr>
          <w:trHeight w:val="183"/>
        </w:trPr>
        <w:tc>
          <w:tcPr>
            <w:tcW w:w="6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Net interest income</w:t>
            </w:r>
          </w:p>
        </w:tc>
        <w:tc>
          <w:tcPr>
            <w:tcW w:w="140" w:type="dxa"/>
            <w:vAlign w:val="bottom"/>
            <w:tcBorders>
              <w:bottom w:val="single" w:sz="8" w:color="CCEEFF"/>
            </w:tcBorders>
            <w:shd w:val="clear" w:color="auto" w:fill="CCEEFF"/>
          </w:tcPr>
          <w:p>
            <w:pPr>
              <w:spacing w:after="0"/>
              <w:rPr>
                <w:sz w:val="15"/>
                <w:szCs w:val="15"/>
                <w:color w:val="auto"/>
              </w:rPr>
            </w:pPr>
          </w:p>
        </w:tc>
        <w:tc>
          <w:tcPr>
            <w:tcW w:w="14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360" w:type="dxa"/>
            <w:vAlign w:val="bottom"/>
            <w:tcBorders>
              <w:bottom w:val="single" w:sz="8" w:color="CCEEFF"/>
            </w:tcBorders>
            <w:shd w:val="clear" w:color="auto" w:fill="CCEEFF"/>
          </w:tcPr>
          <w:p>
            <w:pPr>
              <w:spacing w:after="0"/>
              <w:rPr>
                <w:sz w:val="15"/>
                <w:szCs w:val="15"/>
                <w:color w:val="auto"/>
              </w:rPr>
            </w:pPr>
          </w:p>
        </w:tc>
        <w:tc>
          <w:tcPr>
            <w:tcW w:w="11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1300" w:type="dxa"/>
            <w:vAlign w:val="bottom"/>
            <w:tcBorders>
              <w:bottom w:val="single" w:sz="8" w:color="CCEEFF"/>
            </w:tcBorders>
            <w:shd w:val="clear" w:color="auto" w:fill="CCEEFF"/>
          </w:tcPr>
          <w:p>
            <w:pPr>
              <w:spacing w:after="0"/>
              <w:rPr>
                <w:sz w:val="15"/>
                <w:szCs w:val="15"/>
                <w:color w:val="auto"/>
              </w:rPr>
            </w:pPr>
          </w:p>
        </w:tc>
      </w:tr>
      <w:tr>
        <w:trPr>
          <w:trHeight w:val="193"/>
        </w:trPr>
        <w:tc>
          <w:tcPr>
            <w:tcW w:w="64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Interest income</w:t>
            </w: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56,168</w:t>
            </w:r>
          </w:p>
        </w:tc>
        <w:tc>
          <w:tcPr>
            <w:tcW w:w="100" w:type="dxa"/>
            <w:vAlign w:val="bottom"/>
          </w:tcPr>
          <w:p>
            <w:pPr>
              <w:spacing w:after="0"/>
              <w:rPr>
                <w:sz w:val="16"/>
                <w:szCs w:val="16"/>
                <w:color w:val="auto"/>
              </w:rPr>
            </w:pPr>
          </w:p>
        </w:tc>
        <w:tc>
          <w:tcPr>
            <w:tcW w:w="360" w:type="dxa"/>
            <w:vAlign w:val="bottom"/>
          </w:tcPr>
          <w:p>
            <w:pPr>
              <w:jc w:val="right"/>
              <w:ind w:right="211"/>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52,077</w:t>
            </w:r>
          </w:p>
        </w:tc>
        <w:tc>
          <w:tcPr>
            <w:tcW w:w="100" w:type="dxa"/>
            <w:vAlign w:val="bottom"/>
          </w:tcPr>
          <w:p>
            <w:pPr>
              <w:spacing w:after="0"/>
              <w:rPr>
                <w:sz w:val="16"/>
                <w:szCs w:val="16"/>
                <w:color w:val="auto"/>
              </w:rPr>
            </w:pPr>
          </w:p>
        </w:tc>
        <w:tc>
          <w:tcPr>
            <w:tcW w:w="2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4,091</w:t>
            </w:r>
          </w:p>
        </w:tc>
      </w:tr>
      <w:tr>
        <w:trPr>
          <w:trHeight w:val="23"/>
        </w:trPr>
        <w:tc>
          <w:tcPr>
            <w:tcW w:w="64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16"/>
        </w:trPr>
        <w:tc>
          <w:tcPr>
            <w:tcW w:w="6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Interest expense</w:t>
            </w:r>
          </w:p>
        </w:tc>
        <w:tc>
          <w:tcPr>
            <w:tcW w:w="140" w:type="dxa"/>
            <w:vAlign w:val="bottom"/>
            <w:tcBorders>
              <w:bottom w:val="single" w:sz="8" w:color="CCEEFF"/>
            </w:tcBorders>
            <w:shd w:val="clear" w:color="auto" w:fill="CCEEFF"/>
          </w:tcPr>
          <w:p>
            <w:pPr>
              <w:spacing w:after="0"/>
              <w:rPr>
                <w:sz w:val="18"/>
                <w:szCs w:val="18"/>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(37,905)</w:t>
            </w:r>
          </w:p>
        </w:tc>
        <w:tc>
          <w:tcPr>
            <w:tcW w:w="10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CCEEFF"/>
            </w:tcBorders>
            <w:shd w:val="clear" w:color="auto" w:fill="CCEEFF"/>
          </w:tcPr>
          <w:p>
            <w:pPr>
              <w:spacing w:after="0"/>
              <w:rPr>
                <w:sz w:val="18"/>
                <w:szCs w:val="18"/>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(34,848)</w:t>
            </w: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(3,057)</w:t>
            </w:r>
          </w:p>
        </w:tc>
      </w:tr>
      <w:tr>
        <w:trPr>
          <w:trHeight w:val="186"/>
        </w:trPr>
        <w:tc>
          <w:tcPr>
            <w:tcW w:w="644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Net interest income</w:t>
            </w:r>
          </w:p>
        </w:tc>
        <w:tc>
          <w:tcPr>
            <w:tcW w:w="140" w:type="dxa"/>
            <w:vAlign w:val="bottom"/>
            <w:tcBorders>
              <w:top w:val="single" w:sz="8" w:color="auto"/>
            </w:tcBorders>
          </w:tcPr>
          <w:p>
            <w:pPr>
              <w:spacing w:after="0"/>
              <w:rPr>
                <w:sz w:val="16"/>
                <w:szCs w:val="16"/>
                <w:color w:val="auto"/>
              </w:rPr>
            </w:pPr>
          </w:p>
        </w:tc>
        <w:tc>
          <w:tcPr>
            <w:tcW w:w="14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18,263</w:t>
            </w:r>
          </w:p>
        </w:tc>
        <w:tc>
          <w:tcPr>
            <w:tcW w:w="100" w:type="dxa"/>
            <w:vAlign w:val="bottom"/>
          </w:tcPr>
          <w:p>
            <w:pPr>
              <w:spacing w:after="0"/>
              <w:rPr>
                <w:sz w:val="16"/>
                <w:szCs w:val="16"/>
                <w:color w:val="auto"/>
              </w:rPr>
            </w:pPr>
          </w:p>
        </w:tc>
        <w:tc>
          <w:tcPr>
            <w:tcW w:w="360" w:type="dxa"/>
            <w:vAlign w:val="bottom"/>
            <w:tcBorders>
              <w:top w:val="single" w:sz="8" w:color="auto"/>
            </w:tcBorders>
          </w:tcPr>
          <w:p>
            <w:pPr>
              <w:spacing w:after="0"/>
              <w:rPr>
                <w:sz w:val="16"/>
                <w:szCs w:val="16"/>
                <w:color w:val="auto"/>
              </w:rPr>
            </w:pP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17,229</w:t>
            </w:r>
          </w:p>
        </w:tc>
        <w:tc>
          <w:tcPr>
            <w:tcW w:w="10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1,034</w:t>
            </w:r>
          </w:p>
        </w:tc>
      </w:tr>
      <w:tr>
        <w:trPr>
          <w:trHeight w:val="23"/>
        </w:trPr>
        <w:tc>
          <w:tcPr>
            <w:tcW w:w="64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644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4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1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300" w:type="dxa"/>
            <w:vAlign w:val="bottom"/>
            <w:shd w:val="clear" w:color="auto" w:fill="CCEEFF"/>
          </w:tcPr>
          <w:p>
            <w:pPr>
              <w:spacing w:after="0"/>
              <w:rPr>
                <w:sz w:val="23"/>
                <w:szCs w:val="23"/>
                <w:color w:val="auto"/>
              </w:rPr>
            </w:pPr>
          </w:p>
        </w:tc>
      </w:tr>
      <w:tr>
        <w:trPr>
          <w:trHeight w:val="193"/>
        </w:trPr>
        <w:tc>
          <w:tcPr>
            <w:tcW w:w="64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Property and other income</w:t>
            </w:r>
          </w:p>
        </w:tc>
        <w:tc>
          <w:tcPr>
            <w:tcW w:w="14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00" w:type="dxa"/>
            <w:vAlign w:val="bottom"/>
          </w:tcPr>
          <w:p>
            <w:pPr>
              <w:spacing w:after="0"/>
              <w:rPr>
                <w:sz w:val="16"/>
                <w:szCs w:val="16"/>
                <w:color w:val="auto"/>
              </w:rPr>
            </w:pPr>
          </w:p>
        </w:tc>
      </w:tr>
      <w:tr>
        <w:trPr>
          <w:trHeight w:val="23"/>
        </w:trPr>
        <w:tc>
          <w:tcPr>
            <w:tcW w:w="64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196"/>
        </w:trPr>
        <w:tc>
          <w:tcPr>
            <w:tcW w:w="6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Property operating income</w:t>
            </w:r>
          </w:p>
        </w:tc>
        <w:tc>
          <w:tcPr>
            <w:tcW w:w="140" w:type="dxa"/>
            <w:vAlign w:val="bottom"/>
            <w:tcBorders>
              <w:bottom w:val="single" w:sz="8" w:color="CCEEFF"/>
            </w:tcBorders>
            <w:shd w:val="clear" w:color="auto" w:fill="CCEEFF"/>
          </w:tcPr>
          <w:p>
            <w:pPr>
              <w:spacing w:after="0"/>
              <w:rPr>
                <w:sz w:val="17"/>
                <w:szCs w:val="17"/>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30,837</w:t>
            </w:r>
          </w:p>
        </w:tc>
        <w:tc>
          <w:tcPr>
            <w:tcW w:w="10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CCEEFF"/>
            </w:tcBorders>
            <w:shd w:val="clear" w:color="auto" w:fill="CCEEFF"/>
          </w:tcPr>
          <w:p>
            <w:pPr>
              <w:spacing w:after="0"/>
              <w:rPr>
                <w:sz w:val="17"/>
                <w:szCs w:val="17"/>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30,432</w:t>
            </w:r>
          </w:p>
        </w:tc>
        <w:tc>
          <w:tcPr>
            <w:tcW w:w="1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405</w:t>
            </w:r>
          </w:p>
        </w:tc>
      </w:tr>
      <w:tr>
        <w:trPr>
          <w:trHeight w:val="193"/>
        </w:trPr>
        <w:tc>
          <w:tcPr>
            <w:tcW w:w="64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Other income</w:t>
            </w:r>
          </w:p>
        </w:tc>
        <w:tc>
          <w:tcPr>
            <w:tcW w:w="140" w:type="dxa"/>
            <w:vAlign w:val="bottom"/>
          </w:tcPr>
          <w:p>
            <w:pPr>
              <w:spacing w:after="0"/>
              <w:rPr>
                <w:sz w:val="16"/>
                <w:szCs w:val="16"/>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350</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1,039</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(689)</w:t>
            </w:r>
          </w:p>
        </w:tc>
      </w:tr>
      <w:tr>
        <w:trPr>
          <w:trHeight w:val="23"/>
        </w:trPr>
        <w:tc>
          <w:tcPr>
            <w:tcW w:w="64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189"/>
        </w:trPr>
        <w:tc>
          <w:tcPr>
            <w:tcW w:w="64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Total property and other income</w:t>
            </w:r>
          </w:p>
        </w:tc>
        <w:tc>
          <w:tcPr>
            <w:tcW w:w="140" w:type="dxa"/>
            <w:vAlign w:val="bottom"/>
            <w:tcBorders>
              <w:bottom w:val="single" w:sz="8" w:color="CCEEFF"/>
            </w:tcBorders>
            <w:shd w:val="clear" w:color="auto" w:fill="CCEEFF"/>
          </w:tcPr>
          <w:p>
            <w:pPr>
              <w:spacing w:after="0"/>
              <w:rPr>
                <w:sz w:val="16"/>
                <w:szCs w:val="16"/>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31,187</w:t>
            </w:r>
          </w:p>
        </w:tc>
        <w:tc>
          <w:tcPr>
            <w:tcW w:w="100" w:type="dxa"/>
            <w:vAlign w:val="bottom"/>
            <w:tcBorders>
              <w:bottom w:val="single" w:sz="8" w:color="CCEEFF"/>
            </w:tcBorders>
            <w:shd w:val="clear" w:color="auto" w:fill="CCEEFF"/>
          </w:tcPr>
          <w:p>
            <w:pPr>
              <w:spacing w:after="0"/>
              <w:rPr>
                <w:sz w:val="16"/>
                <w:szCs w:val="16"/>
                <w:color w:val="auto"/>
              </w:rPr>
            </w:pPr>
          </w:p>
        </w:tc>
        <w:tc>
          <w:tcPr>
            <w:tcW w:w="360" w:type="dxa"/>
            <w:vAlign w:val="bottom"/>
            <w:tcBorders>
              <w:bottom w:val="single" w:sz="8" w:color="CCEEFF"/>
            </w:tcBorders>
            <w:shd w:val="clear" w:color="auto" w:fill="CCEEFF"/>
          </w:tcPr>
          <w:p>
            <w:pPr>
              <w:spacing w:after="0"/>
              <w:rPr>
                <w:sz w:val="16"/>
                <w:szCs w:val="16"/>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31,471</w:t>
            </w:r>
          </w:p>
        </w:tc>
        <w:tc>
          <w:tcPr>
            <w:tcW w:w="10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(284)</w:t>
            </w:r>
          </w:p>
        </w:tc>
      </w:tr>
      <w:tr>
        <w:trPr>
          <w:trHeight w:val="270"/>
        </w:trPr>
        <w:tc>
          <w:tcPr>
            <w:tcW w:w="64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300" w:type="dxa"/>
            <w:vAlign w:val="bottom"/>
          </w:tcPr>
          <w:p>
            <w:pPr>
              <w:spacing w:after="0"/>
              <w:rPr>
                <w:sz w:val="23"/>
                <w:szCs w:val="23"/>
                <w:color w:val="auto"/>
              </w:rPr>
            </w:pPr>
          </w:p>
        </w:tc>
      </w:tr>
      <w:tr>
        <w:trPr>
          <w:trHeight w:val="196"/>
        </w:trPr>
        <w:tc>
          <w:tcPr>
            <w:tcW w:w="6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Expenses</w:t>
            </w:r>
          </w:p>
        </w:tc>
        <w:tc>
          <w:tcPr>
            <w:tcW w:w="140" w:type="dxa"/>
            <w:vAlign w:val="bottom"/>
            <w:tcBorders>
              <w:bottom w:val="single" w:sz="8" w:color="CCEEFF"/>
            </w:tcBorders>
            <w:shd w:val="clear" w:color="auto" w:fill="CCEEFF"/>
          </w:tcPr>
          <w:p>
            <w:pPr>
              <w:spacing w:after="0"/>
              <w:rPr>
                <w:sz w:val="17"/>
                <w:szCs w:val="17"/>
                <w:color w:val="auto"/>
              </w:rPr>
            </w:pPr>
          </w:p>
        </w:tc>
        <w:tc>
          <w:tcPr>
            <w:tcW w:w="14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CCEEFF"/>
            </w:tcBorders>
            <w:shd w:val="clear" w:color="auto" w:fill="CCEEFF"/>
          </w:tcPr>
          <w:p>
            <w:pPr>
              <w:spacing w:after="0"/>
              <w:rPr>
                <w:sz w:val="17"/>
                <w:szCs w:val="17"/>
                <w:color w:val="auto"/>
              </w:rPr>
            </w:pPr>
          </w:p>
        </w:tc>
        <w:tc>
          <w:tcPr>
            <w:tcW w:w="11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1300" w:type="dxa"/>
            <w:vAlign w:val="bottom"/>
            <w:tcBorders>
              <w:bottom w:val="single" w:sz="8" w:color="CCEEFF"/>
            </w:tcBorders>
            <w:shd w:val="clear" w:color="auto" w:fill="CCEEFF"/>
          </w:tcPr>
          <w:p>
            <w:pPr>
              <w:spacing w:after="0"/>
              <w:rPr>
                <w:sz w:val="17"/>
                <w:szCs w:val="17"/>
                <w:color w:val="auto"/>
              </w:rPr>
            </w:pPr>
          </w:p>
        </w:tc>
      </w:tr>
      <w:tr>
        <w:trPr>
          <w:trHeight w:val="193"/>
        </w:trPr>
        <w:tc>
          <w:tcPr>
            <w:tcW w:w="64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Property operating expense</w:t>
            </w:r>
          </w:p>
        </w:tc>
        <w:tc>
          <w:tcPr>
            <w:tcW w:w="140" w:type="dxa"/>
            <w:vAlign w:val="bottom"/>
          </w:tcPr>
          <w:p>
            <w:pPr>
              <w:spacing w:after="0"/>
              <w:rPr>
                <w:sz w:val="16"/>
                <w:szCs w:val="16"/>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19,161</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18,511</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650</w:t>
            </w:r>
          </w:p>
        </w:tc>
      </w:tr>
      <w:tr>
        <w:trPr>
          <w:trHeight w:val="23"/>
        </w:trPr>
        <w:tc>
          <w:tcPr>
            <w:tcW w:w="64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196"/>
        </w:trPr>
        <w:tc>
          <w:tcPr>
            <w:tcW w:w="6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Transaction, investment and servicing expense</w:t>
            </w:r>
          </w:p>
        </w:tc>
        <w:tc>
          <w:tcPr>
            <w:tcW w:w="140" w:type="dxa"/>
            <w:vAlign w:val="bottom"/>
            <w:tcBorders>
              <w:bottom w:val="single" w:sz="8" w:color="CCEEFF"/>
            </w:tcBorders>
            <w:shd w:val="clear" w:color="auto" w:fill="CCEEFF"/>
          </w:tcPr>
          <w:p>
            <w:pPr>
              <w:spacing w:after="0"/>
              <w:rPr>
                <w:sz w:val="17"/>
                <w:szCs w:val="17"/>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1,380</w:t>
            </w:r>
          </w:p>
        </w:tc>
        <w:tc>
          <w:tcPr>
            <w:tcW w:w="10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CCEEFF"/>
            </w:tcBorders>
            <w:shd w:val="clear" w:color="auto" w:fill="CCEEFF"/>
          </w:tcPr>
          <w:p>
            <w:pPr>
              <w:spacing w:after="0"/>
              <w:rPr>
                <w:sz w:val="17"/>
                <w:szCs w:val="17"/>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1,507</w:t>
            </w:r>
          </w:p>
        </w:tc>
        <w:tc>
          <w:tcPr>
            <w:tcW w:w="1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(127)</w:t>
            </w:r>
          </w:p>
        </w:tc>
      </w:tr>
      <w:tr>
        <w:trPr>
          <w:trHeight w:val="193"/>
        </w:trPr>
        <w:tc>
          <w:tcPr>
            <w:tcW w:w="64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Interest expense on real estate</w:t>
            </w:r>
          </w:p>
        </w:tc>
        <w:tc>
          <w:tcPr>
            <w:tcW w:w="140" w:type="dxa"/>
            <w:vAlign w:val="bottom"/>
          </w:tcPr>
          <w:p>
            <w:pPr>
              <w:spacing w:after="0"/>
              <w:rPr>
                <w:sz w:val="16"/>
                <w:szCs w:val="16"/>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4,655</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5,121</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(466)</w:t>
            </w:r>
          </w:p>
        </w:tc>
      </w:tr>
      <w:tr>
        <w:trPr>
          <w:trHeight w:val="23"/>
        </w:trPr>
        <w:tc>
          <w:tcPr>
            <w:tcW w:w="64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196"/>
        </w:trPr>
        <w:tc>
          <w:tcPr>
            <w:tcW w:w="6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140" w:type="dxa"/>
            <w:vAlign w:val="bottom"/>
            <w:tcBorders>
              <w:bottom w:val="single" w:sz="8" w:color="CCEEFF"/>
            </w:tcBorders>
            <w:shd w:val="clear" w:color="auto" w:fill="CCEEFF"/>
          </w:tcPr>
          <w:p>
            <w:pPr>
              <w:spacing w:after="0"/>
              <w:rPr>
                <w:sz w:val="17"/>
                <w:szCs w:val="17"/>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4,084</w:t>
            </w:r>
          </w:p>
        </w:tc>
        <w:tc>
          <w:tcPr>
            <w:tcW w:w="10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CCEEFF"/>
            </w:tcBorders>
            <w:shd w:val="clear" w:color="auto" w:fill="CCEEFF"/>
          </w:tcPr>
          <w:p>
            <w:pPr>
              <w:spacing w:after="0"/>
              <w:rPr>
                <w:sz w:val="17"/>
                <w:szCs w:val="17"/>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8,187</w:t>
            </w:r>
          </w:p>
        </w:tc>
        <w:tc>
          <w:tcPr>
            <w:tcW w:w="1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(4,103)</w:t>
            </w:r>
          </w:p>
        </w:tc>
      </w:tr>
      <w:tr>
        <w:trPr>
          <w:trHeight w:val="193"/>
        </w:trPr>
        <w:tc>
          <w:tcPr>
            <w:tcW w:w="64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Increase of current expected credit loss reserve</w:t>
            </w:r>
          </w:p>
        </w:tc>
        <w:tc>
          <w:tcPr>
            <w:tcW w:w="140" w:type="dxa"/>
            <w:vAlign w:val="bottom"/>
          </w:tcPr>
          <w:p>
            <w:pPr>
              <w:spacing w:after="0"/>
              <w:rPr>
                <w:sz w:val="16"/>
                <w:szCs w:val="16"/>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15,039</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13,502</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1,537</w:t>
            </w:r>
          </w:p>
        </w:tc>
      </w:tr>
      <w:tr>
        <w:trPr>
          <w:trHeight w:val="23"/>
        </w:trPr>
        <w:tc>
          <w:tcPr>
            <w:tcW w:w="64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196"/>
        </w:trPr>
        <w:tc>
          <w:tcPr>
            <w:tcW w:w="6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Impairment of operating real estate</w:t>
            </w:r>
          </w:p>
        </w:tc>
        <w:tc>
          <w:tcPr>
            <w:tcW w:w="140" w:type="dxa"/>
            <w:vAlign w:val="bottom"/>
            <w:tcBorders>
              <w:bottom w:val="single" w:sz="8" w:color="CCEEFF"/>
            </w:tcBorders>
            <w:shd w:val="clear" w:color="auto" w:fill="CCEEFF"/>
          </w:tcPr>
          <w:p>
            <w:pPr>
              <w:spacing w:after="0"/>
              <w:rPr>
                <w:sz w:val="17"/>
                <w:szCs w:val="17"/>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5,986</w:t>
            </w:r>
          </w:p>
        </w:tc>
        <w:tc>
          <w:tcPr>
            <w:tcW w:w="10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CCEEFF"/>
            </w:tcBorders>
            <w:shd w:val="clear" w:color="auto" w:fill="CCEEFF"/>
          </w:tcPr>
          <w:p>
            <w:pPr>
              <w:spacing w:after="0"/>
              <w:rPr>
                <w:sz w:val="17"/>
                <w:szCs w:val="17"/>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9,270</w:t>
            </w:r>
          </w:p>
        </w:tc>
        <w:tc>
          <w:tcPr>
            <w:tcW w:w="1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(3,284)</w:t>
            </w:r>
          </w:p>
        </w:tc>
      </w:tr>
      <w:tr>
        <w:trPr>
          <w:trHeight w:val="193"/>
        </w:trPr>
        <w:tc>
          <w:tcPr>
            <w:tcW w:w="64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Compensation and benefits</w:t>
            </w:r>
          </w:p>
        </w:tc>
        <w:tc>
          <w:tcPr>
            <w:tcW w:w="140" w:type="dxa"/>
            <w:vAlign w:val="bottom"/>
          </w:tcPr>
          <w:p>
            <w:pPr>
              <w:spacing w:after="0"/>
              <w:rPr>
                <w:sz w:val="16"/>
                <w:szCs w:val="16"/>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9,197</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8,989</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208</w:t>
            </w:r>
          </w:p>
        </w:tc>
      </w:tr>
      <w:tr>
        <w:trPr>
          <w:trHeight w:val="23"/>
        </w:trPr>
        <w:tc>
          <w:tcPr>
            <w:tcW w:w="64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16"/>
        </w:trPr>
        <w:tc>
          <w:tcPr>
            <w:tcW w:w="6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Operating expense</w:t>
            </w:r>
          </w:p>
        </w:tc>
        <w:tc>
          <w:tcPr>
            <w:tcW w:w="140" w:type="dxa"/>
            <w:vAlign w:val="bottom"/>
            <w:tcBorders>
              <w:bottom w:val="single" w:sz="8" w:color="CCEEFF"/>
            </w:tcBorders>
            <w:shd w:val="clear" w:color="auto" w:fill="CCEEFF"/>
          </w:tcPr>
          <w:p>
            <w:pPr>
              <w:spacing w:after="0"/>
              <w:rPr>
                <w:sz w:val="18"/>
                <w:szCs w:val="18"/>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3,055</w:t>
            </w:r>
          </w:p>
        </w:tc>
        <w:tc>
          <w:tcPr>
            <w:tcW w:w="10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CCEEFF"/>
            </w:tcBorders>
            <w:shd w:val="clear" w:color="auto" w:fill="CCEEFF"/>
          </w:tcPr>
          <w:p>
            <w:pPr>
              <w:spacing w:after="0"/>
              <w:rPr>
                <w:sz w:val="18"/>
                <w:szCs w:val="18"/>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3,158</w:t>
            </w: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(103)</w:t>
            </w:r>
          </w:p>
        </w:tc>
      </w:tr>
      <w:tr>
        <w:trPr>
          <w:trHeight w:val="186"/>
        </w:trPr>
        <w:tc>
          <w:tcPr>
            <w:tcW w:w="64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 expenses</w:t>
            </w:r>
          </w:p>
        </w:tc>
        <w:tc>
          <w:tcPr>
            <w:tcW w:w="140" w:type="dxa"/>
            <w:vAlign w:val="bottom"/>
            <w:tcBorders>
              <w:top w:val="single" w:sz="8" w:color="auto"/>
            </w:tcBorders>
          </w:tcPr>
          <w:p>
            <w:pPr>
              <w:spacing w:after="0"/>
              <w:rPr>
                <w:sz w:val="16"/>
                <w:szCs w:val="16"/>
                <w:color w:val="auto"/>
              </w:rPr>
            </w:pPr>
          </w:p>
        </w:tc>
        <w:tc>
          <w:tcPr>
            <w:tcW w:w="14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62,557</w:t>
            </w:r>
          </w:p>
        </w:tc>
        <w:tc>
          <w:tcPr>
            <w:tcW w:w="100" w:type="dxa"/>
            <w:vAlign w:val="bottom"/>
          </w:tcPr>
          <w:p>
            <w:pPr>
              <w:spacing w:after="0"/>
              <w:rPr>
                <w:sz w:val="16"/>
                <w:szCs w:val="16"/>
                <w:color w:val="auto"/>
              </w:rPr>
            </w:pPr>
          </w:p>
        </w:tc>
        <w:tc>
          <w:tcPr>
            <w:tcW w:w="360" w:type="dxa"/>
            <w:vAlign w:val="bottom"/>
            <w:tcBorders>
              <w:top w:val="single" w:sz="8" w:color="auto"/>
            </w:tcBorders>
          </w:tcPr>
          <w:p>
            <w:pPr>
              <w:spacing w:after="0"/>
              <w:rPr>
                <w:sz w:val="16"/>
                <w:szCs w:val="16"/>
                <w:color w:val="auto"/>
              </w:rPr>
            </w:pP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68,245</w:t>
            </w:r>
          </w:p>
        </w:tc>
        <w:tc>
          <w:tcPr>
            <w:tcW w:w="10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(5,688)</w:t>
            </w:r>
          </w:p>
        </w:tc>
      </w:tr>
      <w:tr>
        <w:trPr>
          <w:trHeight w:val="23"/>
        </w:trPr>
        <w:tc>
          <w:tcPr>
            <w:tcW w:w="64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644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4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1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300" w:type="dxa"/>
            <w:vAlign w:val="bottom"/>
            <w:shd w:val="clear" w:color="auto" w:fill="CCEEFF"/>
          </w:tcPr>
          <w:p>
            <w:pPr>
              <w:spacing w:after="0"/>
              <w:rPr>
                <w:sz w:val="23"/>
                <w:szCs w:val="23"/>
                <w:color w:val="auto"/>
              </w:rPr>
            </w:pPr>
          </w:p>
        </w:tc>
      </w:tr>
      <w:tr>
        <w:trPr>
          <w:trHeight w:val="193"/>
        </w:trPr>
        <w:tc>
          <w:tcPr>
            <w:tcW w:w="64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Other income</w:t>
            </w:r>
          </w:p>
        </w:tc>
        <w:tc>
          <w:tcPr>
            <w:tcW w:w="14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00" w:type="dxa"/>
            <w:vAlign w:val="bottom"/>
          </w:tcPr>
          <w:p>
            <w:pPr>
              <w:spacing w:after="0"/>
              <w:rPr>
                <w:sz w:val="16"/>
                <w:szCs w:val="16"/>
                <w:color w:val="auto"/>
              </w:rPr>
            </w:pPr>
          </w:p>
        </w:tc>
      </w:tr>
      <w:tr>
        <w:trPr>
          <w:trHeight w:val="23"/>
        </w:trPr>
        <w:tc>
          <w:tcPr>
            <w:tcW w:w="64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16"/>
        </w:trPr>
        <w:tc>
          <w:tcPr>
            <w:tcW w:w="6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gain (loss), net</w:t>
            </w:r>
          </w:p>
        </w:tc>
        <w:tc>
          <w:tcPr>
            <w:tcW w:w="140" w:type="dxa"/>
            <w:vAlign w:val="bottom"/>
            <w:tcBorders>
              <w:bottom w:val="single" w:sz="8" w:color="CCEEFF"/>
            </w:tcBorders>
            <w:shd w:val="clear" w:color="auto" w:fill="CCEEFF"/>
          </w:tcPr>
          <w:p>
            <w:pPr>
              <w:spacing w:after="0"/>
              <w:rPr>
                <w:sz w:val="18"/>
                <w:szCs w:val="18"/>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60,322</w:t>
            </w:r>
          </w:p>
        </w:tc>
        <w:tc>
          <w:tcPr>
            <w:tcW w:w="10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CCEEFF"/>
            </w:tcBorders>
            <w:shd w:val="clear" w:color="auto" w:fill="CCEEFF"/>
          </w:tcPr>
          <w:p>
            <w:pPr>
              <w:spacing w:after="0"/>
              <w:rPr>
                <w:sz w:val="18"/>
                <w:szCs w:val="18"/>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w:t>
            </w: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60,349</w:t>
            </w:r>
          </w:p>
        </w:tc>
      </w:tr>
      <w:tr>
        <w:trPr>
          <w:trHeight w:val="186"/>
        </w:trPr>
        <w:tc>
          <w:tcPr>
            <w:tcW w:w="64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Income (loss) before equity in earnings of unconsolidated ventures and income taxes</w:t>
            </w:r>
          </w:p>
        </w:tc>
        <w:tc>
          <w:tcPr>
            <w:tcW w:w="140" w:type="dxa"/>
            <w:vAlign w:val="bottom"/>
            <w:tcBorders>
              <w:top w:val="single" w:sz="8" w:color="auto"/>
            </w:tcBorders>
          </w:tcPr>
          <w:p>
            <w:pPr>
              <w:spacing w:after="0"/>
              <w:rPr>
                <w:sz w:val="16"/>
                <w:szCs w:val="16"/>
                <w:color w:val="auto"/>
              </w:rPr>
            </w:pPr>
          </w:p>
        </w:tc>
        <w:tc>
          <w:tcPr>
            <w:tcW w:w="14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47,215</w:t>
            </w:r>
          </w:p>
        </w:tc>
        <w:tc>
          <w:tcPr>
            <w:tcW w:w="100" w:type="dxa"/>
            <w:vAlign w:val="bottom"/>
          </w:tcPr>
          <w:p>
            <w:pPr>
              <w:spacing w:after="0"/>
              <w:rPr>
                <w:sz w:val="16"/>
                <w:szCs w:val="16"/>
                <w:color w:val="auto"/>
              </w:rPr>
            </w:pPr>
          </w:p>
        </w:tc>
        <w:tc>
          <w:tcPr>
            <w:tcW w:w="360" w:type="dxa"/>
            <w:vAlign w:val="bottom"/>
            <w:tcBorders>
              <w:top w:val="single" w:sz="8" w:color="auto"/>
            </w:tcBorders>
          </w:tcPr>
          <w:p>
            <w:pPr>
              <w:spacing w:after="0"/>
              <w:rPr>
                <w:sz w:val="16"/>
                <w:szCs w:val="16"/>
                <w:color w:val="auto"/>
              </w:rPr>
            </w:pP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(19,572)</w:t>
            </w:r>
          </w:p>
        </w:tc>
        <w:tc>
          <w:tcPr>
            <w:tcW w:w="10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66,787</w:t>
            </w:r>
          </w:p>
        </w:tc>
      </w:tr>
      <w:tr>
        <w:trPr>
          <w:trHeight w:val="23"/>
        </w:trPr>
        <w:tc>
          <w:tcPr>
            <w:tcW w:w="64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196"/>
        </w:trPr>
        <w:tc>
          <w:tcPr>
            <w:tcW w:w="6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Equity in earnings (loss) of unconsolidated ventures</w:t>
            </w:r>
          </w:p>
        </w:tc>
        <w:tc>
          <w:tcPr>
            <w:tcW w:w="140" w:type="dxa"/>
            <w:vAlign w:val="bottom"/>
            <w:tcBorders>
              <w:bottom w:val="single" w:sz="8" w:color="CCEEFF"/>
            </w:tcBorders>
            <w:shd w:val="clear" w:color="auto" w:fill="CCEEFF"/>
          </w:tcPr>
          <w:p>
            <w:pPr>
              <w:spacing w:after="0"/>
              <w:rPr>
                <w:sz w:val="17"/>
                <w:szCs w:val="17"/>
                <w:color w:val="auto"/>
              </w:rPr>
            </w:pPr>
          </w:p>
        </w:tc>
        <w:tc>
          <w:tcPr>
            <w:tcW w:w="15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Borders>
              <w:bottom w:val="single" w:sz="8" w:color="CCEEFF"/>
            </w:tcBorders>
            <w:shd w:val="clear" w:color="auto" w:fill="CCEEFF"/>
          </w:tcPr>
          <w:p>
            <w:pPr>
              <w:spacing w:after="0"/>
              <w:rPr>
                <w:sz w:val="17"/>
                <w:szCs w:val="17"/>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(602)</w:t>
            </w:r>
          </w:p>
        </w:tc>
        <w:tc>
          <w:tcPr>
            <w:tcW w:w="1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602</w:t>
            </w:r>
          </w:p>
        </w:tc>
      </w:tr>
      <w:tr>
        <w:trPr>
          <w:trHeight w:val="193"/>
        </w:trPr>
        <w:tc>
          <w:tcPr>
            <w:tcW w:w="64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Income tax benefit (expense)</w:t>
            </w:r>
          </w:p>
        </w:tc>
        <w:tc>
          <w:tcPr>
            <w:tcW w:w="140" w:type="dxa"/>
            <w:vAlign w:val="bottom"/>
          </w:tcPr>
          <w:p>
            <w:pPr>
              <w:spacing w:after="0"/>
              <w:rPr>
                <w:sz w:val="16"/>
                <w:szCs w:val="16"/>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w:t>
            </w:r>
          </w:p>
        </w:tc>
      </w:tr>
      <w:tr>
        <w:trPr>
          <w:trHeight w:val="23"/>
        </w:trPr>
        <w:tc>
          <w:tcPr>
            <w:tcW w:w="64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34"/>
        </w:trPr>
        <w:tc>
          <w:tcPr>
            <w:tcW w:w="6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Net income (loss)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47,234</w:t>
            </w:r>
          </w:p>
        </w:tc>
        <w:tc>
          <w:tcPr>
            <w:tcW w:w="10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ind w:right="211"/>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(20,184)</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67,418</w:t>
            </w:r>
          </w:p>
        </w:tc>
      </w:tr>
      <w:tr>
        <w:trPr>
          <w:trHeight w:val="20"/>
        </w:trPr>
        <w:tc>
          <w:tcPr>
            <w:tcW w:w="64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r>
    </w:tbl>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Comparison of Three Months Ended September 30, 2026 and Three Months Ended June 30, 2026</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Interest Income</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income</w:t>
      </w:r>
    </w:p>
    <w:p>
      <w:pPr>
        <w:spacing w:after="0" w:line="14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Interest income increased by $4.1 million to $56.2 million for the three months ended September 30, 2026, as compared to the three months ended June 30, 2026. The increase was primarily due to $4.6 million related to loan originations offset by $1.6 million related to loan repayments.</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expense</w:t>
      </w:r>
    </w:p>
    <w:p>
      <w:pPr>
        <w:spacing w:after="0" w:line="16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Interest expense increased by $3.1 million to $37.9 million for the three months ended September 30, 2026, as compared to the three months ended June 30, 2026. The increase was primarily due to $2.6 million related to the financing of newly originated loans and higher draws on the Bank Credit Facility of $1.0 million. This was partially offset by $0.9 million from paydowns on our Master Repurchase Facilities.</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Property and other income</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Property operating income</w:t>
      </w:r>
    </w:p>
    <w:p>
      <w:pPr>
        <w:spacing w:after="0" w:line="16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Property operating income increased by $0.4 million to $30.8 million for the three months ended September 30, 2026, as compared to the three months ended June 30, 2026. The increase was primarily driven by $1.3 million in one time termination</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60" w:name="page61"/>
    <w:bookmarkEnd w:id="6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right="1100"/>
        <w:spacing w:after="0" w:line="414" w:lineRule="auto"/>
        <w:rPr>
          <w:sz w:val="20"/>
          <w:szCs w:val="20"/>
          <w:color w:val="auto"/>
        </w:rPr>
      </w:pPr>
      <w:r>
        <w:rPr>
          <w:rFonts w:ascii="Times New Roman" w:cs="Times New Roman" w:eastAsia="Times New Roman" w:hAnsi="Times New Roman"/>
          <w:sz w:val="18"/>
          <w:szCs w:val="18"/>
          <w:color w:val="auto"/>
        </w:rPr>
        <w:t xml:space="preserve">fee income from an office property, offset by $1.0 million in lower income from the industrial portfolio sold during the third quarter of 2026. </w:t>
      </w:r>
      <w:r>
        <w:rPr>
          <w:rFonts w:ascii="Times New Roman" w:cs="Times New Roman" w:eastAsia="Times New Roman" w:hAnsi="Times New Roman"/>
          <w:sz w:val="18"/>
          <w:szCs w:val="18"/>
          <w:i w:val="1"/>
          <w:iCs w:val="1"/>
          <w:color w:val="auto"/>
        </w:rPr>
        <w:t>Other income</w:t>
      </w:r>
    </w:p>
    <w:p>
      <w:pPr>
        <w:spacing w:after="0" w:line="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Other income decreased by $0.7 million to $0.3 million during the three months ended September 30, 2026, as compared to the three months ended June 30, 2026. The decrease was primarily due to lower miscellaneous refunds of $0.6 million related to resolved investments and lower interest income of $0.1 million on a one-time tax refund.</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Expenses</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Property operating expense</w:t>
      </w:r>
    </w:p>
    <w:p>
      <w:pPr>
        <w:spacing w:after="0" w:line="16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Property operating expense increased by $0.7 million to $19.2 million for the three months ended September 30, 2026, as compared to the three months ended June 30, 2026. The increase was primarily driven by $0.4 million in higher property taxes and utilities at an office property and $0.4 million higher expenses from a multifamily property, offset by $0.2 million of lower utility expenses at a multifamily/pre-development property.</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Transaction, investment and servicing expense</w:t>
      </w:r>
    </w:p>
    <w:p>
      <w:pPr>
        <w:spacing w:after="0" w:line="14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Transaction, investment and servicing expense decreased by $0.1 million to $1.4 million for the three months ended September 30, 2026, as compared to the three months ended June 30, 2026. The decrease was primarily due to lower franchise tax expense of $0.4 million partially offset by higher deal-level expenses of $0.2 million during the three months ended September 30, 2026.</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expense on real estate</w:t>
      </w:r>
    </w:p>
    <w:p>
      <w:pPr>
        <w:spacing w:after="0" w:line="160"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Interest expense on real estate decreased by $0.5 million to $4.7 million for the three months ended September 30, 2026, as compared to the three months ended June 30, 2026. The decrease was primarily driven by $0.6 million related to the industrial portfolio sold during the third quarter of 2026.</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Depreciation and amortization</w:t>
      </w:r>
    </w:p>
    <w:p>
      <w:pPr>
        <w:spacing w:after="0" w:line="16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Depreciation and amortization expense decreased by $4.1 million to $4.1 million for the three months ended September 30, 2026, as compared to the three months ended June 30, 2026. The decrease was primarily driven by $2.6 million lower expense related to three assets classified as held for sale during the second and third quarters of 2026 and $1.4 million related to fully amortized intangible assets at a multifamily property.</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Increase of current expected credit loss reserve</w:t>
      </w:r>
    </w:p>
    <w:p>
      <w:pPr>
        <w:spacing w:after="0" w:line="14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During the three months ended September 30, 2026, we recorded an increase in CECL reserves of $15.0 million. The increase was due to a net increase in general reserves of $7.5 million driven by macroeconomic conditions, originations activity and other model inputs. We also recorded $7.5 million of specific reserves primarily related to one office loan that was resolved in the third quarter of 2026 and the specific reserves were charged off during the three months ended September 30, 2026.</w:t>
      </w:r>
    </w:p>
    <w:p>
      <w:pPr>
        <w:spacing w:after="0" w:line="11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the three months ended June 30, 2026, we recorded an increase in CECL reserves of $13.5 million. The increase was due to a net increase in general reserves of $12.5 million driven by macroeconomic conditions and other model inputs. We also recorded $1.0 million of specific reserves related to three multifamily loans that were resolved in the second quarter of 2026, all of which were charged off during the three months ended June 30, 2026.</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Impairment of operating real estate</w:t>
      </w:r>
    </w:p>
    <w:p>
      <w:pPr>
        <w:spacing w:after="0" w:line="14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During the three months ended September 30, 2026, we recorded impairment of $6.0 million related to one retail property which was deconsolidated following the loss of control over the property and two multifamily properties.</w:t>
      </w:r>
    </w:p>
    <w:p>
      <w:pPr>
        <w:spacing w:after="0" w:line="94"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During the three months ended June 30, 2026, we recorded impairment of $5.5 million related to two retail properties, one of which was deconsolidated following the loss of control over the property. We also recorded $3.8 million related to a multifamily property classified as real estate held for sale.</w:t>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Compensation and benefits</w:t>
      </w:r>
    </w:p>
    <w:p>
      <w:pPr>
        <w:spacing w:after="0" w:line="160"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Compensation and benefits increased by $0.2 million to $9.2 million for the three months ended September 30, 2026, as compared to the three months ended June 30, 2026 due to higher stock compensation expense.</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Operating expense</w:t>
      </w:r>
    </w:p>
    <w:p>
      <w:pPr>
        <w:spacing w:after="0" w:line="146"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Operating expense decreased by $0.1 million to $3.1 million for the three months ended September 30, 2026, as compared to the three months ended June 30, 2026 due to lower third-party costs incurred.</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income</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gain (loss), net</w:t>
      </w:r>
    </w:p>
    <w:p>
      <w:pPr>
        <w:spacing w:after="0" w:line="146"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We recorded other gain, net of $60.3 million during the three months ended September 30, 2026 related to the sale of an industrial portfolio. We recorded a de minimis other loss, net during the three months ended June 30, 2026.</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Equity in earnings (loss) of unconsolidated ventures</w:t>
      </w:r>
    </w:p>
    <w:p>
      <w:pPr>
        <w:spacing w:after="0" w:line="16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There was no equity in earnings (loss) recognized during the three months ended September 30, 2026. We recorded equity in earnings (loss) of $0.6 million during the three months ended June 30, 2026 related to the fair value loss on one investment held in an unconsolidated venture.</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 benefit (expense)</w:t>
      </w:r>
    </w:p>
    <w:p>
      <w:pPr>
        <w:spacing w:after="0" w:line="16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Income tax expense decreased by a de minimis amount to an income tax benefit for the three months ended September 30, 2026, as compared to the three months ended June 30, 2026.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following table summarizes our portfolio results of operations for the nine months ended September 30, 2026 and September 30, 2025 (dollars in thousands):</w:t>
      </w:r>
    </w:p>
    <w:p>
      <w:pPr>
        <w:spacing w:after="0" w:line="64"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64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80" w:type="dxa"/>
            <w:vAlign w:val="bottom"/>
            <w:gridSpan w:val="2"/>
          </w:tcPr>
          <w:p>
            <w:pPr>
              <w:jc w:val="center"/>
              <w:ind w:right="280"/>
              <w:spacing w:after="0"/>
              <w:rPr>
                <w:sz w:val="20"/>
                <w:szCs w:val="20"/>
                <w:color w:val="auto"/>
              </w:rPr>
            </w:pPr>
            <w:r>
              <w:rPr>
                <w:rFonts w:ascii="Times New Roman" w:cs="Times New Roman" w:eastAsia="Times New Roman" w:hAnsi="Times New Roman"/>
                <w:sz w:val="13"/>
                <w:szCs w:val="13"/>
                <w:b w:val="1"/>
                <w:bCs w:val="1"/>
                <w:color w:val="auto"/>
                <w:w w:val="97"/>
              </w:rPr>
              <w:t>Nine Months Ended</w:t>
            </w:r>
          </w:p>
        </w:tc>
        <w:tc>
          <w:tcPr>
            <w:tcW w:w="160" w:type="dxa"/>
            <w:vAlign w:val="bottom"/>
          </w:tcPr>
          <w:p>
            <w:pPr>
              <w:spacing w:after="0"/>
              <w:rPr>
                <w:sz w:val="12"/>
                <w:szCs w:val="12"/>
                <w:color w:val="auto"/>
              </w:rPr>
            </w:pPr>
          </w:p>
        </w:tc>
        <w:tc>
          <w:tcPr>
            <w:tcW w:w="1480" w:type="dxa"/>
            <w:vAlign w:val="bottom"/>
            <w:gridSpan w:val="2"/>
          </w:tcPr>
          <w:p>
            <w:pPr>
              <w:jc w:val="center"/>
              <w:ind w:right="260"/>
              <w:spacing w:after="0"/>
              <w:rPr>
                <w:sz w:val="20"/>
                <w:szCs w:val="20"/>
                <w:color w:val="auto"/>
              </w:rPr>
            </w:pPr>
            <w:r>
              <w:rPr>
                <w:rFonts w:ascii="Times New Roman" w:cs="Times New Roman" w:eastAsia="Times New Roman" w:hAnsi="Times New Roman"/>
                <w:sz w:val="13"/>
                <w:szCs w:val="13"/>
                <w:b w:val="1"/>
                <w:bCs w:val="1"/>
                <w:color w:val="auto"/>
                <w:w w:val="95"/>
              </w:rPr>
              <w:t>Nine Months Ended</w:t>
            </w:r>
          </w:p>
        </w:tc>
        <w:tc>
          <w:tcPr>
            <w:tcW w:w="100" w:type="dxa"/>
            <w:vAlign w:val="bottom"/>
          </w:tcPr>
          <w:p>
            <w:pPr>
              <w:spacing w:after="0"/>
              <w:rPr>
                <w:sz w:val="12"/>
                <w:szCs w:val="12"/>
                <w:color w:val="auto"/>
              </w:rPr>
            </w:pPr>
          </w:p>
        </w:tc>
        <w:tc>
          <w:tcPr>
            <w:tcW w:w="1400" w:type="dxa"/>
            <w:vAlign w:val="bottom"/>
          </w:tcPr>
          <w:p>
            <w:pPr>
              <w:spacing w:after="0"/>
              <w:rPr>
                <w:sz w:val="12"/>
                <w:szCs w:val="12"/>
                <w:color w:val="auto"/>
              </w:rPr>
            </w:pPr>
          </w:p>
        </w:tc>
      </w:tr>
      <w:tr>
        <w:trPr>
          <w:trHeight w:val="176"/>
        </w:trPr>
        <w:tc>
          <w:tcPr>
            <w:tcW w:w="64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80" w:type="dxa"/>
            <w:vAlign w:val="bottom"/>
            <w:gridSpan w:val="2"/>
          </w:tcPr>
          <w:p>
            <w:pPr>
              <w:jc w:val="center"/>
              <w:ind w:right="280"/>
              <w:spacing w:after="0"/>
              <w:rPr>
                <w:sz w:val="20"/>
                <w:szCs w:val="20"/>
                <w:color w:val="auto"/>
              </w:rPr>
            </w:pPr>
            <w:r>
              <w:rPr>
                <w:rFonts w:ascii="Times New Roman" w:cs="Times New Roman" w:eastAsia="Times New Roman" w:hAnsi="Times New Roman"/>
                <w:sz w:val="13"/>
                <w:szCs w:val="13"/>
                <w:b w:val="1"/>
                <w:bCs w:val="1"/>
                <w:color w:val="auto"/>
                <w:w w:val="95"/>
              </w:rPr>
              <w:t>September 30,</w:t>
            </w:r>
          </w:p>
        </w:tc>
        <w:tc>
          <w:tcPr>
            <w:tcW w:w="160" w:type="dxa"/>
            <w:vAlign w:val="bottom"/>
          </w:tcPr>
          <w:p>
            <w:pPr>
              <w:spacing w:after="0"/>
              <w:rPr>
                <w:sz w:val="15"/>
                <w:szCs w:val="15"/>
                <w:color w:val="auto"/>
              </w:rPr>
            </w:pPr>
          </w:p>
        </w:tc>
        <w:tc>
          <w:tcPr>
            <w:tcW w:w="1480" w:type="dxa"/>
            <w:vAlign w:val="bottom"/>
            <w:gridSpan w:val="2"/>
          </w:tcPr>
          <w:p>
            <w:pPr>
              <w:jc w:val="center"/>
              <w:ind w:right="260"/>
              <w:spacing w:after="0"/>
              <w:rPr>
                <w:sz w:val="20"/>
                <w:szCs w:val="20"/>
                <w:color w:val="auto"/>
              </w:rPr>
            </w:pPr>
            <w:r>
              <w:rPr>
                <w:rFonts w:ascii="Times New Roman" w:cs="Times New Roman" w:eastAsia="Times New Roman" w:hAnsi="Times New Roman"/>
                <w:sz w:val="13"/>
                <w:szCs w:val="13"/>
                <w:b w:val="1"/>
                <w:bCs w:val="1"/>
                <w:color w:val="auto"/>
                <w:w w:val="98"/>
              </w:rPr>
              <w:t>September 30,</w:t>
            </w:r>
          </w:p>
        </w:tc>
        <w:tc>
          <w:tcPr>
            <w:tcW w:w="100" w:type="dxa"/>
            <w:vAlign w:val="bottom"/>
          </w:tcPr>
          <w:p>
            <w:pPr>
              <w:spacing w:after="0"/>
              <w:rPr>
                <w:sz w:val="15"/>
                <w:szCs w:val="15"/>
                <w:color w:val="auto"/>
              </w:rPr>
            </w:pPr>
          </w:p>
        </w:tc>
        <w:tc>
          <w:tcPr>
            <w:tcW w:w="1400" w:type="dxa"/>
            <w:vAlign w:val="bottom"/>
          </w:tcPr>
          <w:p>
            <w:pPr>
              <w:jc w:val="center"/>
              <w:ind w:right="29"/>
              <w:spacing w:after="0"/>
              <w:rPr>
                <w:sz w:val="20"/>
                <w:szCs w:val="20"/>
                <w:color w:val="auto"/>
              </w:rPr>
            </w:pPr>
            <w:r>
              <w:rPr>
                <w:rFonts w:ascii="Times New Roman" w:cs="Times New Roman" w:eastAsia="Times New Roman" w:hAnsi="Times New Roman"/>
                <w:sz w:val="13"/>
                <w:szCs w:val="13"/>
                <w:b w:val="1"/>
                <w:bCs w:val="1"/>
                <w:color w:val="auto"/>
                <w:w w:val="95"/>
              </w:rPr>
              <w:t>YTD 2026 vs YTD 2025</w:t>
            </w:r>
          </w:p>
        </w:tc>
      </w:tr>
      <w:tr>
        <w:trPr>
          <w:trHeight w:val="183"/>
        </w:trPr>
        <w:tc>
          <w:tcPr>
            <w:tcW w:w="6440" w:type="dxa"/>
            <w:vAlign w:val="bottom"/>
            <w:tcBorders>
              <w:bottom w:val="single" w:sz="8" w:color="CCEEFF"/>
            </w:tcBorders>
          </w:tcPr>
          <w:p>
            <w:pPr>
              <w:spacing w:after="0"/>
              <w:rPr>
                <w:sz w:val="15"/>
                <w:szCs w:val="15"/>
                <w:color w:val="auto"/>
              </w:rPr>
            </w:pPr>
          </w:p>
        </w:tc>
        <w:tc>
          <w:tcPr>
            <w:tcW w:w="180" w:type="dxa"/>
            <w:vAlign w:val="bottom"/>
            <w:tcBorders>
              <w:top w:val="single" w:sz="8" w:color="auto"/>
              <w:bottom w:val="single" w:sz="8" w:color="auto"/>
            </w:tcBorders>
          </w:tcPr>
          <w:p>
            <w:pPr>
              <w:spacing w:after="0"/>
              <w:rPr>
                <w:sz w:val="15"/>
                <w:szCs w:val="15"/>
                <w:color w:val="auto"/>
              </w:rPr>
            </w:pPr>
          </w:p>
        </w:tc>
        <w:tc>
          <w:tcPr>
            <w:tcW w:w="1380" w:type="dxa"/>
            <w:vAlign w:val="bottom"/>
            <w:tcBorders>
              <w:top w:val="single" w:sz="8" w:color="auto"/>
              <w:bottom w:val="single" w:sz="8" w:color="auto"/>
            </w:tcBorders>
          </w:tcPr>
          <w:p>
            <w:pPr>
              <w:jc w:val="center"/>
              <w:ind w:right="109"/>
              <w:spacing w:after="0"/>
              <w:rPr>
                <w:sz w:val="20"/>
                <w:szCs w:val="20"/>
                <w:color w:val="auto"/>
              </w:rPr>
            </w:pPr>
            <w:r>
              <w:rPr>
                <w:rFonts w:ascii="Times New Roman" w:cs="Times New Roman" w:eastAsia="Times New Roman" w:hAnsi="Times New Roman"/>
                <w:sz w:val="13"/>
                <w:szCs w:val="13"/>
                <w:b w:val="1"/>
                <w:bCs w:val="1"/>
                <w:color w:val="auto"/>
                <w:w w:val="92"/>
              </w:rPr>
              <w:t>2026</w:t>
            </w:r>
          </w:p>
        </w:tc>
        <w:tc>
          <w:tcPr>
            <w:tcW w:w="100" w:type="dxa"/>
            <w:vAlign w:val="bottom"/>
            <w:tcBorders>
              <w:bottom w:val="single" w:sz="8" w:color="CCEEFF"/>
            </w:tcBorders>
          </w:tcPr>
          <w:p>
            <w:pPr>
              <w:spacing w:after="0"/>
              <w:rPr>
                <w:sz w:val="15"/>
                <w:szCs w:val="15"/>
                <w:color w:val="auto"/>
              </w:rPr>
            </w:pPr>
          </w:p>
        </w:tc>
        <w:tc>
          <w:tcPr>
            <w:tcW w:w="160" w:type="dxa"/>
            <w:vAlign w:val="bottom"/>
            <w:tcBorders>
              <w:top w:val="single" w:sz="8" w:color="auto"/>
              <w:bottom w:val="single" w:sz="8" w:color="auto"/>
            </w:tcBorders>
          </w:tcPr>
          <w:p>
            <w:pPr>
              <w:spacing w:after="0"/>
              <w:rPr>
                <w:sz w:val="15"/>
                <w:szCs w:val="15"/>
                <w:color w:val="auto"/>
              </w:rPr>
            </w:pPr>
          </w:p>
        </w:tc>
        <w:tc>
          <w:tcPr>
            <w:tcW w:w="1380" w:type="dxa"/>
            <w:vAlign w:val="bottom"/>
            <w:tcBorders>
              <w:top w:val="single" w:sz="8" w:color="auto"/>
              <w:bottom w:val="single" w:sz="8" w:color="auto"/>
            </w:tcBorders>
          </w:tcPr>
          <w:p>
            <w:pPr>
              <w:jc w:val="center"/>
              <w:ind w:right="89"/>
              <w:spacing w:after="0"/>
              <w:rPr>
                <w:sz w:val="20"/>
                <w:szCs w:val="20"/>
                <w:color w:val="auto"/>
              </w:rPr>
            </w:pPr>
            <w:r>
              <w:rPr>
                <w:rFonts w:ascii="Times New Roman" w:cs="Times New Roman" w:eastAsia="Times New Roman" w:hAnsi="Times New Roman"/>
                <w:sz w:val="13"/>
                <w:szCs w:val="13"/>
                <w:b w:val="1"/>
                <w:bCs w:val="1"/>
                <w:color w:val="auto"/>
                <w:w w:val="99"/>
              </w:rPr>
              <w:t>2025</w:t>
            </w:r>
          </w:p>
        </w:tc>
        <w:tc>
          <w:tcPr>
            <w:tcW w:w="100" w:type="dxa"/>
            <w:vAlign w:val="bottom"/>
            <w:tcBorders>
              <w:top w:val="single" w:sz="8" w:color="auto"/>
              <w:bottom w:val="single" w:sz="8" w:color="CCEEFF"/>
            </w:tcBorders>
          </w:tcPr>
          <w:p>
            <w:pPr>
              <w:spacing w:after="0"/>
              <w:rPr>
                <w:sz w:val="15"/>
                <w:szCs w:val="15"/>
                <w:color w:val="auto"/>
              </w:rPr>
            </w:pPr>
          </w:p>
        </w:tc>
        <w:tc>
          <w:tcPr>
            <w:tcW w:w="100" w:type="dxa"/>
            <w:vAlign w:val="bottom"/>
            <w:tcBorders>
              <w:top w:val="single" w:sz="8" w:color="auto"/>
              <w:bottom w:val="single" w:sz="8" w:color="auto"/>
            </w:tcBorders>
          </w:tcPr>
          <w:p>
            <w:pPr>
              <w:spacing w:after="0"/>
              <w:rPr>
                <w:sz w:val="15"/>
                <w:szCs w:val="15"/>
                <w:color w:val="auto"/>
              </w:rPr>
            </w:pPr>
          </w:p>
        </w:tc>
        <w:tc>
          <w:tcPr>
            <w:tcW w:w="1400" w:type="dxa"/>
            <w:vAlign w:val="bottom"/>
            <w:tcBorders>
              <w:top w:val="single" w:sz="8" w:color="auto"/>
              <w:bottom w:val="single" w:sz="8" w:color="auto"/>
            </w:tcBorders>
          </w:tcPr>
          <w:p>
            <w:pPr>
              <w:jc w:val="center"/>
              <w:ind w:right="9"/>
              <w:spacing w:after="0"/>
              <w:rPr>
                <w:sz w:val="20"/>
                <w:szCs w:val="20"/>
                <w:color w:val="auto"/>
              </w:rPr>
            </w:pPr>
            <w:r>
              <w:rPr>
                <w:rFonts w:ascii="Times New Roman" w:cs="Times New Roman" w:eastAsia="Times New Roman" w:hAnsi="Times New Roman"/>
                <w:sz w:val="13"/>
                <w:szCs w:val="13"/>
                <w:b w:val="1"/>
                <w:bCs w:val="1"/>
                <w:color w:val="auto"/>
                <w:w w:val="96"/>
              </w:rPr>
              <w:t>Amount</w:t>
            </w:r>
          </w:p>
        </w:tc>
      </w:tr>
      <w:tr>
        <w:trPr>
          <w:trHeight w:val="183"/>
        </w:trPr>
        <w:tc>
          <w:tcPr>
            <w:tcW w:w="6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Net interest income</w:t>
            </w:r>
          </w:p>
        </w:tc>
        <w:tc>
          <w:tcPr>
            <w:tcW w:w="180" w:type="dxa"/>
            <w:vAlign w:val="bottom"/>
            <w:tcBorders>
              <w:bottom w:val="single" w:sz="8" w:color="CCEEFF"/>
            </w:tcBorders>
            <w:shd w:val="clear" w:color="auto" w:fill="CCEEFF"/>
          </w:tcPr>
          <w:p>
            <w:pPr>
              <w:spacing w:after="0"/>
              <w:rPr>
                <w:sz w:val="15"/>
                <w:szCs w:val="15"/>
                <w:color w:val="auto"/>
              </w:rPr>
            </w:pPr>
          </w:p>
        </w:tc>
        <w:tc>
          <w:tcPr>
            <w:tcW w:w="13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13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400" w:type="dxa"/>
            <w:vAlign w:val="bottom"/>
            <w:tcBorders>
              <w:bottom w:val="single" w:sz="8" w:color="CCEEFF"/>
            </w:tcBorders>
            <w:shd w:val="clear" w:color="auto" w:fill="CCEEFF"/>
          </w:tcPr>
          <w:p>
            <w:pPr>
              <w:spacing w:after="0"/>
              <w:rPr>
                <w:sz w:val="15"/>
                <w:szCs w:val="15"/>
                <w:color w:val="auto"/>
              </w:rPr>
            </w:pPr>
          </w:p>
        </w:tc>
      </w:tr>
      <w:tr>
        <w:trPr>
          <w:trHeight w:val="193"/>
        </w:trPr>
        <w:tc>
          <w:tcPr>
            <w:tcW w:w="64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Interest income</w:t>
            </w:r>
          </w:p>
        </w:tc>
        <w:tc>
          <w:tcPr>
            <w:tcW w:w="1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157,760</w:t>
            </w:r>
          </w:p>
        </w:tc>
        <w:tc>
          <w:tcPr>
            <w:tcW w:w="100" w:type="dxa"/>
            <w:vAlign w:val="bottom"/>
          </w:tcPr>
          <w:p>
            <w:pPr>
              <w:spacing w:after="0"/>
              <w:rPr>
                <w:sz w:val="16"/>
                <w:szCs w:val="16"/>
                <w:color w:val="auto"/>
              </w:rPr>
            </w:pPr>
          </w:p>
        </w:tc>
        <w:tc>
          <w:tcPr>
            <w:tcW w:w="1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145,638</w:t>
            </w:r>
          </w:p>
        </w:tc>
        <w:tc>
          <w:tcPr>
            <w:tcW w:w="10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0" w:type="dxa"/>
            <w:vAlign w:val="bottom"/>
          </w:tcPr>
          <w:p>
            <w:pPr>
              <w:ind w:left="940"/>
              <w:spacing w:after="0"/>
              <w:rPr>
                <w:sz w:val="20"/>
                <w:szCs w:val="20"/>
                <w:color w:val="auto"/>
              </w:rPr>
            </w:pPr>
            <w:r>
              <w:rPr>
                <w:rFonts w:ascii="Times New Roman" w:cs="Times New Roman" w:eastAsia="Times New Roman" w:hAnsi="Times New Roman"/>
                <w:sz w:val="14"/>
                <w:szCs w:val="14"/>
                <w:color w:val="auto"/>
              </w:rPr>
              <w:t>12,122</w:t>
            </w:r>
          </w:p>
        </w:tc>
      </w:tr>
      <w:tr>
        <w:trPr>
          <w:trHeight w:val="23"/>
        </w:trPr>
        <w:tc>
          <w:tcPr>
            <w:tcW w:w="64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16"/>
        </w:trPr>
        <w:tc>
          <w:tcPr>
            <w:tcW w:w="6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Interest expense</w:t>
            </w:r>
          </w:p>
        </w:tc>
        <w:tc>
          <w:tcPr>
            <w:tcW w:w="180" w:type="dxa"/>
            <w:vAlign w:val="bottom"/>
            <w:tcBorders>
              <w:bottom w:val="single" w:sz="8" w:color="CCEEFF"/>
            </w:tcBorders>
            <w:shd w:val="clear" w:color="auto" w:fill="CCEEFF"/>
          </w:tcPr>
          <w:p>
            <w:pPr>
              <w:spacing w:after="0"/>
              <w:rPr>
                <w:sz w:val="18"/>
                <w:szCs w:val="18"/>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(106,146)</w:t>
            </w: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(95,510)</w:t>
            </w: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(10,636)</w:t>
            </w:r>
          </w:p>
        </w:tc>
      </w:tr>
      <w:tr>
        <w:trPr>
          <w:trHeight w:val="186"/>
        </w:trPr>
        <w:tc>
          <w:tcPr>
            <w:tcW w:w="644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Net interest income</w:t>
            </w:r>
          </w:p>
        </w:tc>
        <w:tc>
          <w:tcPr>
            <w:tcW w:w="180" w:type="dxa"/>
            <w:vAlign w:val="bottom"/>
            <w:tcBorders>
              <w:top w:val="single" w:sz="8" w:color="auto"/>
            </w:tcBorders>
          </w:tcPr>
          <w:p>
            <w:pPr>
              <w:spacing w:after="0"/>
              <w:rPr>
                <w:sz w:val="16"/>
                <w:szCs w:val="16"/>
                <w:color w:val="auto"/>
              </w:rPr>
            </w:pPr>
          </w:p>
        </w:tc>
        <w:tc>
          <w:tcPr>
            <w:tcW w:w="13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51,614</w:t>
            </w:r>
          </w:p>
        </w:tc>
        <w:tc>
          <w:tcPr>
            <w:tcW w:w="10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3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50,128</w:t>
            </w:r>
          </w:p>
        </w:tc>
        <w:tc>
          <w:tcPr>
            <w:tcW w:w="10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4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1,486</w:t>
            </w:r>
          </w:p>
        </w:tc>
      </w:tr>
      <w:tr>
        <w:trPr>
          <w:trHeight w:val="23"/>
        </w:trPr>
        <w:tc>
          <w:tcPr>
            <w:tcW w:w="64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70"/>
        </w:trPr>
        <w:tc>
          <w:tcPr>
            <w:tcW w:w="644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3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3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00" w:type="dxa"/>
            <w:vAlign w:val="bottom"/>
            <w:shd w:val="clear" w:color="auto" w:fill="CCEEFF"/>
          </w:tcPr>
          <w:p>
            <w:pPr>
              <w:spacing w:after="0"/>
              <w:rPr>
                <w:sz w:val="23"/>
                <w:szCs w:val="23"/>
                <w:color w:val="auto"/>
              </w:rPr>
            </w:pPr>
          </w:p>
        </w:tc>
      </w:tr>
      <w:tr>
        <w:trPr>
          <w:trHeight w:val="193"/>
        </w:trPr>
        <w:tc>
          <w:tcPr>
            <w:tcW w:w="64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Property and other income</w:t>
            </w:r>
          </w:p>
        </w:tc>
        <w:tc>
          <w:tcPr>
            <w:tcW w:w="18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0" w:type="dxa"/>
            <w:vAlign w:val="bottom"/>
          </w:tcPr>
          <w:p>
            <w:pPr>
              <w:spacing w:after="0"/>
              <w:rPr>
                <w:sz w:val="16"/>
                <w:szCs w:val="16"/>
                <w:color w:val="auto"/>
              </w:rPr>
            </w:pPr>
          </w:p>
        </w:tc>
      </w:tr>
      <w:tr>
        <w:trPr>
          <w:trHeight w:val="23"/>
        </w:trPr>
        <w:tc>
          <w:tcPr>
            <w:tcW w:w="64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196"/>
        </w:trPr>
        <w:tc>
          <w:tcPr>
            <w:tcW w:w="6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Property operating income</w:t>
            </w:r>
          </w:p>
        </w:tc>
        <w:tc>
          <w:tcPr>
            <w:tcW w:w="180" w:type="dxa"/>
            <w:vAlign w:val="bottom"/>
            <w:tcBorders>
              <w:bottom w:val="single" w:sz="8" w:color="CCEEFF"/>
            </w:tcBorders>
            <w:shd w:val="clear" w:color="auto" w:fill="CCEEFF"/>
          </w:tcPr>
          <w:p>
            <w:pPr>
              <w:spacing w:after="0"/>
              <w:rPr>
                <w:sz w:val="17"/>
                <w:szCs w:val="17"/>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93,923</w:t>
            </w:r>
          </w:p>
        </w:tc>
        <w:tc>
          <w:tcPr>
            <w:tcW w:w="1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95,063</w:t>
            </w:r>
          </w:p>
        </w:tc>
        <w:tc>
          <w:tcPr>
            <w:tcW w:w="1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400" w:type="dxa"/>
            <w:vAlign w:val="bottom"/>
            <w:tcBorders>
              <w:bottom w:val="single" w:sz="8" w:color="CCEEFF"/>
            </w:tcBorders>
            <w:shd w:val="clear" w:color="auto" w:fill="CCEEFF"/>
          </w:tcPr>
          <w:p>
            <w:pPr>
              <w:ind w:left="960"/>
              <w:spacing w:after="0"/>
              <w:rPr>
                <w:sz w:val="20"/>
                <w:szCs w:val="20"/>
                <w:color w:val="auto"/>
              </w:rPr>
            </w:pPr>
            <w:r>
              <w:rPr>
                <w:rFonts w:ascii="Times New Roman" w:cs="Times New Roman" w:eastAsia="Times New Roman" w:hAnsi="Times New Roman"/>
                <w:sz w:val="14"/>
                <w:szCs w:val="14"/>
                <w:color w:val="auto"/>
              </w:rPr>
              <w:t>(1,140)</w:t>
            </w:r>
          </w:p>
        </w:tc>
      </w:tr>
      <w:tr>
        <w:trPr>
          <w:trHeight w:val="193"/>
        </w:trPr>
        <w:tc>
          <w:tcPr>
            <w:tcW w:w="64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Other income</w:t>
            </w:r>
          </w:p>
        </w:tc>
        <w:tc>
          <w:tcPr>
            <w:tcW w:w="180" w:type="dxa"/>
            <w:vAlign w:val="bottom"/>
          </w:tcPr>
          <w:p>
            <w:pPr>
              <w:spacing w:after="0"/>
              <w:rPr>
                <w:sz w:val="16"/>
                <w:szCs w:val="16"/>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4,360</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6,724</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0" w:type="dxa"/>
            <w:vAlign w:val="bottom"/>
          </w:tcPr>
          <w:p>
            <w:pPr>
              <w:ind w:left="960"/>
              <w:spacing w:after="0"/>
              <w:rPr>
                <w:sz w:val="20"/>
                <w:szCs w:val="20"/>
                <w:color w:val="auto"/>
              </w:rPr>
            </w:pPr>
            <w:r>
              <w:rPr>
                <w:rFonts w:ascii="Times New Roman" w:cs="Times New Roman" w:eastAsia="Times New Roman" w:hAnsi="Times New Roman"/>
                <w:sz w:val="14"/>
                <w:szCs w:val="14"/>
                <w:color w:val="auto"/>
              </w:rPr>
              <w:t>(2,364)</w:t>
            </w:r>
          </w:p>
        </w:tc>
      </w:tr>
      <w:tr>
        <w:trPr>
          <w:trHeight w:val="23"/>
        </w:trPr>
        <w:tc>
          <w:tcPr>
            <w:tcW w:w="64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189"/>
        </w:trPr>
        <w:tc>
          <w:tcPr>
            <w:tcW w:w="64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Total property and other income</w:t>
            </w:r>
          </w:p>
        </w:tc>
        <w:tc>
          <w:tcPr>
            <w:tcW w:w="180" w:type="dxa"/>
            <w:vAlign w:val="bottom"/>
            <w:tcBorders>
              <w:bottom w:val="single" w:sz="8" w:color="CCEEFF"/>
            </w:tcBorders>
            <w:shd w:val="clear" w:color="auto" w:fill="CCEEFF"/>
          </w:tcPr>
          <w:p>
            <w:pPr>
              <w:spacing w:after="0"/>
              <w:rPr>
                <w:sz w:val="16"/>
                <w:szCs w:val="16"/>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98,283</w:t>
            </w:r>
          </w:p>
        </w:tc>
        <w:tc>
          <w:tcPr>
            <w:tcW w:w="10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101,787</w:t>
            </w:r>
          </w:p>
        </w:tc>
        <w:tc>
          <w:tcPr>
            <w:tcW w:w="1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400" w:type="dxa"/>
            <w:vAlign w:val="bottom"/>
            <w:tcBorders>
              <w:bottom w:val="single" w:sz="8" w:color="CCEEFF"/>
            </w:tcBorders>
            <w:shd w:val="clear" w:color="auto" w:fill="CCEEFF"/>
          </w:tcPr>
          <w:p>
            <w:pPr>
              <w:ind w:left="960"/>
              <w:spacing w:after="0"/>
              <w:rPr>
                <w:sz w:val="20"/>
                <w:szCs w:val="20"/>
                <w:color w:val="auto"/>
              </w:rPr>
            </w:pPr>
            <w:r>
              <w:rPr>
                <w:rFonts w:ascii="Times New Roman" w:cs="Times New Roman" w:eastAsia="Times New Roman" w:hAnsi="Times New Roman"/>
                <w:sz w:val="14"/>
                <w:szCs w:val="14"/>
                <w:color w:val="auto"/>
              </w:rPr>
              <w:t>(3,504)</w:t>
            </w:r>
          </w:p>
        </w:tc>
      </w:tr>
      <w:tr>
        <w:trPr>
          <w:trHeight w:val="270"/>
        </w:trPr>
        <w:tc>
          <w:tcPr>
            <w:tcW w:w="64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3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3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0" w:type="dxa"/>
            <w:vAlign w:val="bottom"/>
          </w:tcPr>
          <w:p>
            <w:pPr>
              <w:spacing w:after="0"/>
              <w:rPr>
                <w:sz w:val="23"/>
                <w:szCs w:val="23"/>
                <w:color w:val="auto"/>
              </w:rPr>
            </w:pPr>
          </w:p>
        </w:tc>
      </w:tr>
      <w:tr>
        <w:trPr>
          <w:trHeight w:val="196"/>
        </w:trPr>
        <w:tc>
          <w:tcPr>
            <w:tcW w:w="6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Expenses</w:t>
            </w:r>
          </w:p>
        </w:tc>
        <w:tc>
          <w:tcPr>
            <w:tcW w:w="180" w:type="dxa"/>
            <w:vAlign w:val="bottom"/>
            <w:tcBorders>
              <w:bottom w:val="single" w:sz="8" w:color="CCEEFF"/>
            </w:tcBorders>
            <w:shd w:val="clear" w:color="auto" w:fill="CCEEFF"/>
          </w:tcPr>
          <w:p>
            <w:pPr>
              <w:spacing w:after="0"/>
              <w:rPr>
                <w:sz w:val="17"/>
                <w:szCs w:val="17"/>
                <w:color w:val="auto"/>
              </w:rPr>
            </w:pPr>
          </w:p>
        </w:tc>
        <w:tc>
          <w:tcPr>
            <w:tcW w:w="13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13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400" w:type="dxa"/>
            <w:vAlign w:val="bottom"/>
            <w:tcBorders>
              <w:bottom w:val="single" w:sz="8" w:color="CCEEFF"/>
            </w:tcBorders>
            <w:shd w:val="clear" w:color="auto" w:fill="CCEEFF"/>
          </w:tcPr>
          <w:p>
            <w:pPr>
              <w:spacing w:after="0"/>
              <w:rPr>
                <w:sz w:val="17"/>
                <w:szCs w:val="17"/>
                <w:color w:val="auto"/>
              </w:rPr>
            </w:pPr>
          </w:p>
        </w:tc>
      </w:tr>
      <w:tr>
        <w:trPr>
          <w:trHeight w:val="193"/>
        </w:trPr>
        <w:tc>
          <w:tcPr>
            <w:tcW w:w="64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Property operating expense</w:t>
            </w:r>
          </w:p>
        </w:tc>
        <w:tc>
          <w:tcPr>
            <w:tcW w:w="180" w:type="dxa"/>
            <w:vAlign w:val="bottom"/>
          </w:tcPr>
          <w:p>
            <w:pPr>
              <w:spacing w:after="0"/>
              <w:rPr>
                <w:sz w:val="16"/>
                <w:szCs w:val="16"/>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57,750</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46,293</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0" w:type="dxa"/>
            <w:vAlign w:val="bottom"/>
          </w:tcPr>
          <w:p>
            <w:pPr>
              <w:ind w:left="940"/>
              <w:spacing w:after="0"/>
              <w:rPr>
                <w:sz w:val="20"/>
                <w:szCs w:val="20"/>
                <w:color w:val="auto"/>
              </w:rPr>
            </w:pPr>
            <w:r>
              <w:rPr>
                <w:rFonts w:ascii="Times New Roman" w:cs="Times New Roman" w:eastAsia="Times New Roman" w:hAnsi="Times New Roman"/>
                <w:sz w:val="14"/>
                <w:szCs w:val="14"/>
                <w:color w:val="auto"/>
              </w:rPr>
              <w:t>11,457</w:t>
            </w:r>
          </w:p>
        </w:tc>
      </w:tr>
      <w:tr>
        <w:trPr>
          <w:trHeight w:val="23"/>
        </w:trPr>
        <w:tc>
          <w:tcPr>
            <w:tcW w:w="64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196"/>
        </w:trPr>
        <w:tc>
          <w:tcPr>
            <w:tcW w:w="6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Transaction, investment and servicing expense</w:t>
            </w:r>
          </w:p>
        </w:tc>
        <w:tc>
          <w:tcPr>
            <w:tcW w:w="180" w:type="dxa"/>
            <w:vAlign w:val="bottom"/>
            <w:tcBorders>
              <w:bottom w:val="single" w:sz="8" w:color="CCEEFF"/>
            </w:tcBorders>
            <w:shd w:val="clear" w:color="auto" w:fill="CCEEFF"/>
          </w:tcPr>
          <w:p>
            <w:pPr>
              <w:spacing w:after="0"/>
              <w:rPr>
                <w:sz w:val="17"/>
                <w:szCs w:val="17"/>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3,719</w:t>
            </w:r>
          </w:p>
        </w:tc>
        <w:tc>
          <w:tcPr>
            <w:tcW w:w="1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2,046</w:t>
            </w:r>
          </w:p>
        </w:tc>
        <w:tc>
          <w:tcPr>
            <w:tcW w:w="1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1,673</w:t>
            </w:r>
          </w:p>
        </w:tc>
      </w:tr>
      <w:tr>
        <w:trPr>
          <w:trHeight w:val="193"/>
        </w:trPr>
        <w:tc>
          <w:tcPr>
            <w:tcW w:w="64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Interest expense on real estate</w:t>
            </w:r>
          </w:p>
        </w:tc>
        <w:tc>
          <w:tcPr>
            <w:tcW w:w="180" w:type="dxa"/>
            <w:vAlign w:val="bottom"/>
          </w:tcPr>
          <w:p>
            <w:pPr>
              <w:spacing w:after="0"/>
              <w:rPr>
                <w:sz w:val="16"/>
                <w:szCs w:val="16"/>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14,868</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18,499</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0" w:type="dxa"/>
            <w:vAlign w:val="bottom"/>
          </w:tcPr>
          <w:p>
            <w:pPr>
              <w:ind w:left="960"/>
              <w:spacing w:after="0"/>
              <w:rPr>
                <w:sz w:val="20"/>
                <w:szCs w:val="20"/>
                <w:color w:val="auto"/>
              </w:rPr>
            </w:pPr>
            <w:r>
              <w:rPr>
                <w:rFonts w:ascii="Times New Roman" w:cs="Times New Roman" w:eastAsia="Times New Roman" w:hAnsi="Times New Roman"/>
                <w:sz w:val="14"/>
                <w:szCs w:val="14"/>
                <w:color w:val="auto"/>
              </w:rPr>
              <w:t>(3,631)</w:t>
            </w:r>
          </w:p>
        </w:tc>
      </w:tr>
      <w:tr>
        <w:trPr>
          <w:trHeight w:val="23"/>
        </w:trPr>
        <w:tc>
          <w:tcPr>
            <w:tcW w:w="64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196"/>
        </w:trPr>
        <w:tc>
          <w:tcPr>
            <w:tcW w:w="6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180" w:type="dxa"/>
            <w:vAlign w:val="bottom"/>
            <w:tcBorders>
              <w:bottom w:val="single" w:sz="8" w:color="CCEEFF"/>
            </w:tcBorders>
            <w:shd w:val="clear" w:color="auto" w:fill="CCEEFF"/>
          </w:tcPr>
          <w:p>
            <w:pPr>
              <w:spacing w:after="0"/>
              <w:rPr>
                <w:sz w:val="17"/>
                <w:szCs w:val="17"/>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20,897</w:t>
            </w:r>
          </w:p>
        </w:tc>
        <w:tc>
          <w:tcPr>
            <w:tcW w:w="1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28,346</w:t>
            </w:r>
          </w:p>
        </w:tc>
        <w:tc>
          <w:tcPr>
            <w:tcW w:w="1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400" w:type="dxa"/>
            <w:vAlign w:val="bottom"/>
            <w:tcBorders>
              <w:bottom w:val="single" w:sz="8" w:color="CCEEFF"/>
            </w:tcBorders>
            <w:shd w:val="clear" w:color="auto" w:fill="CCEEFF"/>
          </w:tcPr>
          <w:p>
            <w:pPr>
              <w:ind w:left="960"/>
              <w:spacing w:after="0"/>
              <w:rPr>
                <w:sz w:val="20"/>
                <w:szCs w:val="20"/>
                <w:color w:val="auto"/>
              </w:rPr>
            </w:pPr>
            <w:r>
              <w:rPr>
                <w:rFonts w:ascii="Times New Roman" w:cs="Times New Roman" w:eastAsia="Times New Roman" w:hAnsi="Times New Roman"/>
                <w:sz w:val="14"/>
                <w:szCs w:val="14"/>
                <w:color w:val="auto"/>
              </w:rPr>
              <w:t>(7,449)</w:t>
            </w:r>
          </w:p>
        </w:tc>
      </w:tr>
      <w:tr>
        <w:trPr>
          <w:trHeight w:val="193"/>
        </w:trPr>
        <w:tc>
          <w:tcPr>
            <w:tcW w:w="64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Increase of CECL reserve</w:t>
            </w:r>
          </w:p>
        </w:tc>
        <w:tc>
          <w:tcPr>
            <w:tcW w:w="180" w:type="dxa"/>
            <w:vAlign w:val="bottom"/>
          </w:tcPr>
          <w:p>
            <w:pPr>
              <w:spacing w:after="0"/>
              <w:rPr>
                <w:sz w:val="16"/>
                <w:szCs w:val="16"/>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30,286</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8,562</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0" w:type="dxa"/>
            <w:vAlign w:val="bottom"/>
          </w:tcPr>
          <w:p>
            <w:pPr>
              <w:ind w:left="940"/>
              <w:spacing w:after="0"/>
              <w:rPr>
                <w:sz w:val="20"/>
                <w:szCs w:val="20"/>
                <w:color w:val="auto"/>
              </w:rPr>
            </w:pPr>
            <w:r>
              <w:rPr>
                <w:rFonts w:ascii="Times New Roman" w:cs="Times New Roman" w:eastAsia="Times New Roman" w:hAnsi="Times New Roman"/>
                <w:sz w:val="14"/>
                <w:szCs w:val="14"/>
                <w:color w:val="auto"/>
              </w:rPr>
              <w:t>21,724</w:t>
            </w:r>
          </w:p>
        </w:tc>
      </w:tr>
      <w:tr>
        <w:trPr>
          <w:trHeight w:val="23"/>
        </w:trPr>
        <w:tc>
          <w:tcPr>
            <w:tcW w:w="64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196"/>
        </w:trPr>
        <w:tc>
          <w:tcPr>
            <w:tcW w:w="6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Impairment of operating real estate</w:t>
            </w:r>
          </w:p>
        </w:tc>
        <w:tc>
          <w:tcPr>
            <w:tcW w:w="180" w:type="dxa"/>
            <w:vAlign w:val="bottom"/>
            <w:tcBorders>
              <w:bottom w:val="single" w:sz="8" w:color="CCEEFF"/>
            </w:tcBorders>
            <w:shd w:val="clear" w:color="auto" w:fill="CCEEFF"/>
          </w:tcPr>
          <w:p>
            <w:pPr>
              <w:spacing w:after="0"/>
              <w:rPr>
                <w:sz w:val="17"/>
                <w:szCs w:val="17"/>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15,256</w:t>
            </w:r>
          </w:p>
        </w:tc>
        <w:tc>
          <w:tcPr>
            <w:tcW w:w="1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53,636</w:t>
            </w:r>
          </w:p>
        </w:tc>
        <w:tc>
          <w:tcPr>
            <w:tcW w:w="1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(38,380)</w:t>
            </w:r>
          </w:p>
        </w:tc>
      </w:tr>
      <w:tr>
        <w:trPr>
          <w:trHeight w:val="193"/>
        </w:trPr>
        <w:tc>
          <w:tcPr>
            <w:tcW w:w="64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Compensation and benefits</w:t>
            </w:r>
          </w:p>
        </w:tc>
        <w:tc>
          <w:tcPr>
            <w:tcW w:w="180" w:type="dxa"/>
            <w:vAlign w:val="bottom"/>
          </w:tcPr>
          <w:p>
            <w:pPr>
              <w:spacing w:after="0"/>
              <w:rPr>
                <w:sz w:val="16"/>
                <w:szCs w:val="16"/>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27,242</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26,700</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542</w:t>
            </w:r>
          </w:p>
        </w:tc>
      </w:tr>
      <w:tr>
        <w:trPr>
          <w:trHeight w:val="23"/>
        </w:trPr>
        <w:tc>
          <w:tcPr>
            <w:tcW w:w="64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16"/>
        </w:trPr>
        <w:tc>
          <w:tcPr>
            <w:tcW w:w="6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Operating expense</w:t>
            </w:r>
          </w:p>
        </w:tc>
        <w:tc>
          <w:tcPr>
            <w:tcW w:w="180" w:type="dxa"/>
            <w:vAlign w:val="bottom"/>
            <w:tcBorders>
              <w:bottom w:val="single" w:sz="8" w:color="CCEEFF"/>
            </w:tcBorders>
            <w:shd w:val="clear" w:color="auto" w:fill="CCEEFF"/>
          </w:tcPr>
          <w:p>
            <w:pPr>
              <w:spacing w:after="0"/>
              <w:rPr>
                <w:sz w:val="18"/>
                <w:szCs w:val="18"/>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9,308</w:t>
            </w: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9,048</w:t>
            </w: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260</w:t>
            </w:r>
          </w:p>
        </w:tc>
      </w:tr>
      <w:tr>
        <w:trPr>
          <w:trHeight w:val="186"/>
        </w:trPr>
        <w:tc>
          <w:tcPr>
            <w:tcW w:w="64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 expenses</w:t>
            </w:r>
          </w:p>
        </w:tc>
        <w:tc>
          <w:tcPr>
            <w:tcW w:w="180" w:type="dxa"/>
            <w:vAlign w:val="bottom"/>
            <w:tcBorders>
              <w:top w:val="single" w:sz="8" w:color="auto"/>
            </w:tcBorders>
          </w:tcPr>
          <w:p>
            <w:pPr>
              <w:spacing w:after="0"/>
              <w:rPr>
                <w:sz w:val="16"/>
                <w:szCs w:val="16"/>
                <w:color w:val="auto"/>
              </w:rPr>
            </w:pPr>
          </w:p>
        </w:tc>
        <w:tc>
          <w:tcPr>
            <w:tcW w:w="13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179,326</w:t>
            </w:r>
          </w:p>
        </w:tc>
        <w:tc>
          <w:tcPr>
            <w:tcW w:w="10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3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193,130</w:t>
            </w:r>
          </w:p>
        </w:tc>
        <w:tc>
          <w:tcPr>
            <w:tcW w:w="10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4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(13,804)</w:t>
            </w:r>
          </w:p>
        </w:tc>
      </w:tr>
      <w:tr>
        <w:trPr>
          <w:trHeight w:val="23"/>
        </w:trPr>
        <w:tc>
          <w:tcPr>
            <w:tcW w:w="64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70"/>
        </w:trPr>
        <w:tc>
          <w:tcPr>
            <w:tcW w:w="644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3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3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00" w:type="dxa"/>
            <w:vAlign w:val="bottom"/>
            <w:shd w:val="clear" w:color="auto" w:fill="CCEEFF"/>
          </w:tcPr>
          <w:p>
            <w:pPr>
              <w:spacing w:after="0"/>
              <w:rPr>
                <w:sz w:val="23"/>
                <w:szCs w:val="23"/>
                <w:color w:val="auto"/>
              </w:rPr>
            </w:pPr>
          </w:p>
        </w:tc>
      </w:tr>
      <w:tr>
        <w:trPr>
          <w:trHeight w:val="193"/>
        </w:trPr>
        <w:tc>
          <w:tcPr>
            <w:tcW w:w="64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Other income</w:t>
            </w:r>
          </w:p>
        </w:tc>
        <w:tc>
          <w:tcPr>
            <w:tcW w:w="18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0" w:type="dxa"/>
            <w:vAlign w:val="bottom"/>
          </w:tcPr>
          <w:p>
            <w:pPr>
              <w:spacing w:after="0"/>
              <w:rPr>
                <w:sz w:val="16"/>
                <w:szCs w:val="16"/>
                <w:color w:val="auto"/>
              </w:rPr>
            </w:pPr>
          </w:p>
        </w:tc>
      </w:tr>
      <w:tr>
        <w:trPr>
          <w:trHeight w:val="23"/>
        </w:trPr>
        <w:tc>
          <w:tcPr>
            <w:tcW w:w="64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16"/>
        </w:trPr>
        <w:tc>
          <w:tcPr>
            <w:tcW w:w="6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gain (loss), net</w:t>
            </w:r>
          </w:p>
        </w:tc>
        <w:tc>
          <w:tcPr>
            <w:tcW w:w="180" w:type="dxa"/>
            <w:vAlign w:val="bottom"/>
            <w:tcBorders>
              <w:bottom w:val="single" w:sz="8" w:color="CCEEFF"/>
            </w:tcBorders>
            <w:shd w:val="clear" w:color="auto" w:fill="CCEEFF"/>
          </w:tcPr>
          <w:p>
            <w:pPr>
              <w:spacing w:after="0"/>
              <w:rPr>
                <w:sz w:val="18"/>
                <w:szCs w:val="18"/>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60,291</w:t>
            </w: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(3,065)</w:t>
            </w: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400" w:type="dxa"/>
            <w:vAlign w:val="bottom"/>
            <w:tcBorders>
              <w:bottom w:val="single" w:sz="8" w:color="CCEEFF"/>
            </w:tcBorders>
            <w:shd w:val="clear" w:color="auto" w:fill="CCEEFF"/>
          </w:tcPr>
          <w:p>
            <w:pPr>
              <w:ind w:left="940"/>
              <w:spacing w:after="0"/>
              <w:rPr>
                <w:sz w:val="20"/>
                <w:szCs w:val="20"/>
                <w:color w:val="auto"/>
              </w:rPr>
            </w:pPr>
            <w:r>
              <w:rPr>
                <w:rFonts w:ascii="Times New Roman" w:cs="Times New Roman" w:eastAsia="Times New Roman" w:hAnsi="Times New Roman"/>
                <w:sz w:val="14"/>
                <w:szCs w:val="14"/>
                <w:color w:val="auto"/>
              </w:rPr>
              <w:t>63,356</w:t>
            </w:r>
          </w:p>
        </w:tc>
      </w:tr>
      <w:tr>
        <w:trPr>
          <w:trHeight w:val="186"/>
        </w:trPr>
        <w:tc>
          <w:tcPr>
            <w:tcW w:w="64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Income (loss) before equity in earnings (loss) of unconsolidated ventures and income taxes</w:t>
            </w:r>
          </w:p>
        </w:tc>
        <w:tc>
          <w:tcPr>
            <w:tcW w:w="180" w:type="dxa"/>
            <w:vAlign w:val="bottom"/>
            <w:tcBorders>
              <w:top w:val="single" w:sz="8" w:color="auto"/>
            </w:tcBorders>
          </w:tcPr>
          <w:p>
            <w:pPr>
              <w:spacing w:after="0"/>
              <w:rPr>
                <w:sz w:val="16"/>
                <w:szCs w:val="16"/>
                <w:color w:val="auto"/>
              </w:rPr>
            </w:pPr>
          </w:p>
        </w:tc>
        <w:tc>
          <w:tcPr>
            <w:tcW w:w="13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30,862</w:t>
            </w:r>
          </w:p>
        </w:tc>
        <w:tc>
          <w:tcPr>
            <w:tcW w:w="10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3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(44,280)</w:t>
            </w:r>
          </w:p>
        </w:tc>
        <w:tc>
          <w:tcPr>
            <w:tcW w:w="10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400" w:type="dxa"/>
            <w:vAlign w:val="bottom"/>
            <w:tcBorders>
              <w:top w:val="single" w:sz="8" w:color="auto"/>
            </w:tcBorders>
          </w:tcPr>
          <w:p>
            <w:pPr>
              <w:ind w:left="940"/>
              <w:spacing w:after="0"/>
              <w:rPr>
                <w:sz w:val="20"/>
                <w:szCs w:val="20"/>
                <w:color w:val="auto"/>
              </w:rPr>
            </w:pPr>
            <w:r>
              <w:rPr>
                <w:rFonts w:ascii="Times New Roman" w:cs="Times New Roman" w:eastAsia="Times New Roman" w:hAnsi="Times New Roman"/>
                <w:sz w:val="14"/>
                <w:szCs w:val="14"/>
                <w:color w:val="auto"/>
              </w:rPr>
              <w:t>75,142</w:t>
            </w:r>
          </w:p>
        </w:tc>
      </w:tr>
      <w:tr>
        <w:trPr>
          <w:trHeight w:val="23"/>
        </w:trPr>
        <w:tc>
          <w:tcPr>
            <w:tcW w:w="64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196"/>
        </w:trPr>
        <w:tc>
          <w:tcPr>
            <w:tcW w:w="6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Equity in earnings (loss) of unconsolidated ventures</w:t>
            </w:r>
          </w:p>
        </w:tc>
        <w:tc>
          <w:tcPr>
            <w:tcW w:w="180" w:type="dxa"/>
            <w:vAlign w:val="bottom"/>
            <w:tcBorders>
              <w:bottom w:val="single" w:sz="8" w:color="CCEEFF"/>
            </w:tcBorders>
            <w:shd w:val="clear" w:color="auto" w:fill="CCEEFF"/>
          </w:tcPr>
          <w:p>
            <w:pPr>
              <w:spacing w:after="0"/>
              <w:rPr>
                <w:sz w:val="17"/>
                <w:szCs w:val="17"/>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(602)</w:t>
            </w:r>
          </w:p>
        </w:tc>
        <w:tc>
          <w:tcPr>
            <w:tcW w:w="1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14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(602)</w:t>
            </w:r>
          </w:p>
        </w:tc>
      </w:tr>
      <w:tr>
        <w:trPr>
          <w:trHeight w:val="193"/>
        </w:trPr>
        <w:tc>
          <w:tcPr>
            <w:tcW w:w="64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Income tax benefit (expense)</w:t>
            </w:r>
          </w:p>
        </w:tc>
        <w:tc>
          <w:tcPr>
            <w:tcW w:w="180" w:type="dxa"/>
            <w:vAlign w:val="bottom"/>
          </w:tcPr>
          <w:p>
            <w:pPr>
              <w:spacing w:after="0"/>
              <w:rPr>
                <w:sz w:val="16"/>
                <w:szCs w:val="16"/>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(85)</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21,511</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(21,596)</w:t>
            </w:r>
          </w:p>
        </w:tc>
      </w:tr>
      <w:tr>
        <w:trPr>
          <w:trHeight w:val="23"/>
        </w:trPr>
        <w:tc>
          <w:tcPr>
            <w:tcW w:w="64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35"/>
        </w:trPr>
        <w:tc>
          <w:tcPr>
            <w:tcW w:w="6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Net income (loss)</w:t>
            </w:r>
          </w:p>
        </w:tc>
        <w:tc>
          <w:tcPr>
            <w:tcW w:w="18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30,175</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(22,769)</w:t>
            </w:r>
          </w:p>
        </w:tc>
        <w:tc>
          <w:tcPr>
            <w:tcW w:w="1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0" w:type="dxa"/>
            <w:vAlign w:val="bottom"/>
            <w:tcBorders>
              <w:bottom w:val="single" w:sz="8" w:color="auto"/>
            </w:tcBorders>
            <w:shd w:val="clear" w:color="auto" w:fill="CCEEFF"/>
          </w:tcPr>
          <w:p>
            <w:pPr>
              <w:ind w:left="940"/>
              <w:spacing w:after="0"/>
              <w:rPr>
                <w:sz w:val="20"/>
                <w:szCs w:val="20"/>
                <w:color w:val="auto"/>
              </w:rPr>
            </w:pPr>
            <w:r>
              <w:rPr>
                <w:rFonts w:ascii="Times New Roman" w:cs="Times New Roman" w:eastAsia="Times New Roman" w:hAnsi="Times New Roman"/>
                <w:sz w:val="14"/>
                <w:szCs w:val="14"/>
                <w:color w:val="auto"/>
              </w:rPr>
              <w:t>52,944</w:t>
            </w:r>
          </w:p>
        </w:tc>
      </w:tr>
      <w:tr>
        <w:trPr>
          <w:trHeight w:val="20"/>
        </w:trPr>
        <w:tc>
          <w:tcPr>
            <w:tcW w:w="64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Comparison of Nine Months Ended September 30, 2026 and Nine Months Ended September 30, 2025</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Interest Income</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income</w:t>
      </w:r>
    </w:p>
    <w:p>
      <w:pPr>
        <w:spacing w:after="0" w:line="14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Interest income increased by $12.1 million to $157.8 million for the nine months ended September 30, 2026, as compared to the nine months ended September 30, 2025. The increase was primarily due to $49.3 million in loan originations. This was partially offset by $26.5 million related to loan repayments, $6.5 million from loans now classified as real estate and $5.5 million due to lower interest rates.</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expense</w:t>
      </w:r>
    </w:p>
    <w:p>
      <w:pPr>
        <w:spacing w:after="0" w:line="16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Interest expense increased by $10.6 million to $106.1 million for the nine months ended September 30, 2026, as compared to the nine months ended September 30, 2025. The increase was primarily due to $13.6 million related to the net impact of the BRSP 2026-FL3 issuance and the unwinding of the BRSP 2021-FL1 securitization trust following the redemption of all outstanding securities thereunder, $10.5 million related to financing on new originations and $2.0 million relating to draws on the Bank Credit Facility. This was partially offset by $11.0 million related to repayments and $3.7 million related to lower interest rates.</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Property and other income</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Property operating income</w:t>
      </w:r>
    </w:p>
    <w:p>
      <w:pPr>
        <w:spacing w:after="0" w:line="16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Property operating income decreased by $1.1 million to $93.9 million for the nine months ended September 30, 2026, as compared to the nine months ended September 30, 2025. The decrease was primarily due to $16.9 million from four subsidiaries deconsolidated during 2025 and 2026 and $6.9 million from properties sold during 2025 and 2026, partially offset by $20.3 million from properties acquired during 2025 and 2026 and $2.4 million in higher income at two multifamily and one office property.</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income</w:t>
      </w:r>
    </w:p>
    <w:p>
      <w:pPr>
        <w:spacing w:after="0" w:line="14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Other income decreased by $2.4 million to $4.4 million during the nine months ended September 30, 2026, as compared to the nine months ended September 30, 2025. The decrease was primarily due to lower money market interest of $4.1 million and lower miscellaneous refunds of $0.7 million related to resolved investments, partially offset by $2.4 million of interest income on a one-time tax refund that was recognized in the first quarter of 2026.</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Expenses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Property operating expense</w:t>
      </w:r>
    </w:p>
    <w:p>
      <w:pPr>
        <w:spacing w:after="0" w:line="14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Property operating expense increased by $11.5 million to $57.7 million for the nine months ended September 30, 2026, as compared to the nine months ended September 30, 2025. The increase was primarily due to $20.8 million from properties acquired during 2025 and 2026, partially offset by $4.5 million from four subsidiaries deconsolidated during 2025 and 2026 and $4.2 million from properties sold during 2025 and 2026.</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Transaction, investment and servicing expense</w:t>
      </w:r>
    </w:p>
    <w:p>
      <w:pPr>
        <w:spacing w:after="0" w:line="16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Transaction, investment and servicing expense increased by $1.7 million to $3.7 million for the nine months ended September 30, 2026, as compared to the nine months ended September 30, 2025. The increase was primarily due to higher deal-level legal expenses of $1.3 million and higher loan service fees of $0.2 million.</w:t>
      </w:r>
    </w:p>
    <w:p>
      <w:pPr>
        <w:spacing w:after="0" w:line="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expense on real estate</w:t>
      </w:r>
    </w:p>
    <w:p>
      <w:pPr>
        <w:spacing w:after="0" w:line="16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Interest expense on real estate decreased by $3.6 million to $14.9 million for the nine months ended September 30, 2026, as compared to the nine months ended September 30, 2025. This decrease was primarily due to $4.0 million from two subsidiaries deconsolidated during 2025 and 2026 and $0.7 million from an industrial portfolio sold during the third quarter of 2026, partially offset by $1.0 million from one property acquired in 2025.</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Depreciation and amortization</w:t>
      </w:r>
    </w:p>
    <w:p>
      <w:pPr>
        <w:spacing w:after="0" w:line="14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Depreciation and amortization expense decreased by $7.4 million to $20.9 million for the nine months ended September 30, 2026, as compared to the nine months ended September 30, 2025. The decrease was primarily due to $5.1 million from five subsidiaries deconsolidated during 2025 and 2026, $3.9 million from properties sold during 2025 and 2026, $3.6 million from fully amortized in-place leases at two multifamily properties and $0.9 million from fully depreciated improvements at two net lease properties, partially offset by $6.3 million from properties acquired during 2025 and the first quarter of 2026.</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Increase of current expected credit loss reserve</w:t>
      </w:r>
    </w:p>
    <w:p>
      <w:pPr>
        <w:spacing w:after="0" w:line="16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During the nine months ended September 30, 2026, we recorded an increase in CECL reserves of $30.3 million. The increase was driven by a net increase in general reserves of $19.2 million and a net increase in specific CECL reserves of $11.1 million. The increase in general reserves was driven by macroeconomic conditions and other model inputs. The increase in specific reserves was related to three multifamily loans, two office loans and one industrial loan that were resolved during the nine months ended September 30, 2026. As a result, all specific reserves were charged off during the nine months ended September 30, 2026.</w:t>
      </w:r>
    </w:p>
    <w:p>
      <w:pPr>
        <w:spacing w:after="0" w:line="10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During the nine months ended September 30, 2025, we recorded a net increase in CECL reserves of $8.6 million. The increase was driven by a net increase in specific CECL reserves of $46.2 million partially offset by a net decrease in general reserves of $37.6 million. The increase in specific CECL reserves was attributable to two multifamily loans, one office loan and one hotel loan, all of which were charged off during the nine months ended September 30, 2025.</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Impairment of operating real estate</w:t>
      </w:r>
    </w:p>
    <w:p>
      <w:pPr>
        <w:spacing w:after="0" w:line="14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the nine months ended September 30, 2026, we recorded impairment of $8.8 million on three retail properties that were deconsolidated following the loss of control over the properties. We also recorded $6.4 million related to two multifamily properties that were sold or classified as held for sale during the nine months ended September 30, 2026.</w:t>
      </w:r>
    </w:p>
    <w:p>
      <w:pPr>
        <w:spacing w:after="0" w:line="10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During the nine months ended September 30, 2025, we recorded $53.6 million of impairment related to our Norwegian net lease office campus and our Pennsylvania office property. We deconsolidated the assets and liabilities of both properties during the nine months ended September 30, 2025.</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Compensation and benefits</w:t>
      </w:r>
    </w:p>
    <w:p>
      <w:pPr>
        <w:spacing w:after="0" w:line="14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Compensation and benefits increased by $0.5 million to $27.2 million for the nine months ended September 30, 2026, as compared to the nine months ended September 30, 2025, primarily due to higher employee compensation and benefit expense.</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Operating expense</w:t>
      </w:r>
    </w:p>
    <w:p>
      <w:pPr>
        <w:spacing w:after="0" w:line="16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Operating expense increased by $0.3 million to $9.3 million for the nine months ended September 30, 2026, as compared to the nine months ended September 30, 2025, primarily due to higher third-party costs incurred.</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income (loss)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gain (loss), net</w:t>
      </w:r>
    </w:p>
    <w:p>
      <w:pPr>
        <w:spacing w:after="0" w:line="16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recorded other gain, net of $60.3 million during the nine months ended September 30, 2026 related to the gain on the sale of an industrial portfolio in the third quarter of 2026. We recorded other loss, net of $3.1 million during the nine months ended September 30, 2025 related to the reclassification of $22.0 million of foreign currency translation loss offset by $18.6 million of designated hedge gains from accumulated other comprehensive income following the resolution of our Norwegian net lease office campus in the second quarter of 2025.</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Equity in earnings (loss) of unconsolidated ventures</w:t>
      </w:r>
    </w:p>
    <w:p>
      <w:pPr>
        <w:spacing w:after="0" w:line="16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We recorded equity in earnings (loss) of $0.6 million during the nine months ended September 30, 2026 related to the fair value loss on one investment held in an unconsolidated venture. There was no equity in earnings (loss) recognized during the nine months ended September 30, 2025.</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 benefit (expense)</w:t>
      </w:r>
    </w:p>
    <w:p>
      <w:pPr>
        <w:spacing w:after="0" w:line="14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recorded income tax expense of $0.1 million during the nine months ended September 30, 2026 and we recorded an income tax benefit of $21.5 million during the nine months ended September 30, 2025. The tax benefit was primarily due to a $22.1 million deferred tax liability write-off when an investment subsidiary reached a maturity default on its bond financing collateralized by our Norwegian net lease office campus. Following the maturity default, the lenders exercised remedies and took control by equity pledge of the underlying investment subsidiary.</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Non-GAAP Supplemental Financial Measures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Distributable Earnings</w:t>
      </w:r>
    </w:p>
    <w:p>
      <w:pPr>
        <w:spacing w:after="0" w:line="14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present Distributable Earnings, which is a non-GAAP supplemental financial measure of our performance. We believe that Distributable Earnings provides meaningful information to consider in addition to our net income and cash flow from operating activities determined in accordance with GAAP, and this metric is a useful indicator for investors in evaluating and comparing our operating performance to our peers and our ability to pay dividends. We elected to be taxed as a REIT under the Internal Revenue Code of 1986, as amended, beginning with our taxable year ended December 31, 2018. As a REIT, we are required to distribute substantially all of our taxable income, and we believe that dividends are one of the principal reasons investors invest in credit or commercial mortgage REITs such as our company. Over time, Distributable Earnings has been a useful indicator of our dividends per share and we consider that measure in determining the dividend, if any, to be paid. This supplemental financial measure also helps us to evaluate our performance, excluding the effects of certain transactions and GAAP adjustments that we believe are not necessarily indicative of our current portfolio and operations.</w:t>
      </w:r>
    </w:p>
    <w:p>
      <w:pPr>
        <w:spacing w:after="0" w:line="12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define Distributable Earnings as GAAP net income (loss) attributable to our common stockholders (or, without duplication, the owners of the common equity of our direct subsidiaries, such as our OP) and excluding (i) non-cash equity compensation expense, (ii) the expenses incurred in connection with our formation or other strategic transactions, (iii) acquisition costs from successful acquisitions, (iv) gains or losses from sales of real estate property and impairment write-downs of depreciable real estate, including unconsolidated joint ventures and preferred equity investments, (v) general CECL reserves, (vi) depreciation</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and amortization, (vii) any unrealized gains or losses or other similar non-cash items that are included in net income for the current quarter, regardless of whether such items are included in other comprehensive income or loss, or in net income, (viii) one-time events pursuant to changes in GAAP and (ix) certain material non-cash income or expense items that in the judgment of management should not be included in Distributable Earnings. For clauses (viii) and (ix), such exclusions shall only be applied after approval by a majority of our independent directors. Distributable Earnings include specific CECL reserves.</w:t>
      </w:r>
    </w:p>
    <w:p>
      <w:pPr>
        <w:spacing w:after="0" w:line="10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Additionally, we define Adjusted Distributable Earnings as Distributable Earnings excluding (i) realized gains and losses on asset sales, (ii) fair value adjustments, which represent mark-to-market adjustments to investments in unconsolidated ventures based on an exit price, defined as the estimated price that would be received upon the sale of an asset or paid to transfer a liability in an orderly transaction between market participants, (iii) unrealized gains or losses, (iv) specific CECL reserves and (v) one-time gains or losses that in the judgement of management should not be included in Adjusted Distributable Earnings. We believe Adjusted Distributable Earnings is a useful indicator for investors to further evaluate and compare our operating performance to our peers and our ability to pay dividends, net of the impact of any gains or losses on assets sales or fair value adjustments, as described above.</w:t>
      </w:r>
    </w:p>
    <w:p>
      <w:pPr>
        <w:spacing w:after="0" w:line="12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Distributable Earnings and Adjusted Distributable Earnings do not represent net income or cash generated from operating activities and should not be considered as an alternative to GAAP net income or an indication of our cash flows from operating activities determined in accordance with GAAP, a measure of our liquidity, or an indication of funds available to fund our cash needs. In addition, our methodology for calculating Distributable Earnings and Adjusted Distributable Earnings may differ from methodologies employed by other companies to calculate the same or similar non-GAAP supplemental financial measures, and accordingly, our reported Distributable Earnings and Adjusted Distributable Earnings may not be comparable to the Distributable Earnings and Adjusted Distributable Earnings reported by other companies.</w:t>
      </w:r>
    </w:p>
    <w:p>
      <w:pPr>
        <w:spacing w:after="0" w:line="12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following tables present a reconciliation of net income attributable to our common stockholders to Distributable Earnings and Adjusted Distributable Earnings attributable to our common stockholders (dollars and share amounts in thousands, except per share data) for the three months ended September 30, 2026, June 30, 2026 and March 31, 2026 and the three months ended September 30, 2025, June 30, 2025 and March 31, 2025:</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0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tcPr>
          <w:p>
            <w:pPr>
              <w:spacing w:after="0"/>
              <w:rPr>
                <w:sz w:val="18"/>
                <w:szCs w:val="18"/>
                <w:color w:val="auto"/>
              </w:rPr>
            </w:pPr>
          </w:p>
        </w:tc>
        <w:tc>
          <w:tcPr>
            <w:tcW w:w="1780" w:type="dxa"/>
            <w:vAlign w:val="bottom"/>
            <w:tcBorders>
              <w:bottom w:val="single" w:sz="8" w:color="auto"/>
            </w:tcBorders>
            <w:gridSpan w:val="4"/>
          </w:tcPr>
          <w:p>
            <w:pPr>
              <w:ind w:left="6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18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606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September 30, 2026</w:t>
            </w:r>
          </w:p>
        </w:tc>
        <w:tc>
          <w:tcPr>
            <w:tcW w:w="10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259"/>
              <w:spacing w:after="0"/>
              <w:rPr>
                <w:sz w:val="20"/>
                <w:szCs w:val="20"/>
                <w:color w:val="auto"/>
              </w:rPr>
            </w:pPr>
            <w:r>
              <w:rPr>
                <w:rFonts w:ascii="Times New Roman" w:cs="Times New Roman" w:eastAsia="Times New Roman" w:hAnsi="Times New Roman"/>
                <w:sz w:val="16"/>
                <w:szCs w:val="16"/>
                <w:b w:val="1"/>
                <w:bCs w:val="1"/>
                <w:color w:val="auto"/>
              </w:rPr>
              <w:t>June 30, 2026</w:t>
            </w:r>
          </w:p>
        </w:tc>
        <w:tc>
          <w:tcPr>
            <w:tcW w:w="8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ind w:right="178"/>
              <w:spacing w:after="0"/>
              <w:rPr>
                <w:sz w:val="20"/>
                <w:szCs w:val="20"/>
                <w:color w:val="auto"/>
              </w:rPr>
            </w:pPr>
            <w:r>
              <w:rPr>
                <w:rFonts w:ascii="Times New Roman" w:cs="Times New Roman" w:eastAsia="Times New Roman" w:hAnsi="Times New Roman"/>
                <w:sz w:val="16"/>
                <w:szCs w:val="16"/>
                <w:b w:val="1"/>
                <w:bCs w:val="1"/>
                <w:color w:val="auto"/>
              </w:rPr>
              <w:t>March 31, 2026</w:t>
            </w:r>
          </w:p>
        </w:tc>
        <w:tc>
          <w:tcPr>
            <w:tcW w:w="0" w:type="dxa"/>
            <w:vAlign w:val="bottom"/>
          </w:tcPr>
          <w:p>
            <w:pPr>
              <w:spacing w:after="0"/>
              <w:rPr>
                <w:sz w:val="1"/>
                <w:szCs w:val="1"/>
                <w:color w:val="auto"/>
              </w:rPr>
            </w:pPr>
          </w:p>
        </w:tc>
      </w:tr>
      <w:tr>
        <w:trPr>
          <w:trHeight w:val="226"/>
        </w:trPr>
        <w:tc>
          <w:tcPr>
            <w:tcW w:w="6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 (loss) attributable to BrightSpire Capital, Inc. common stockholders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46,934</w:t>
            </w:r>
          </w:p>
        </w:tc>
        <w:tc>
          <w:tcPr>
            <w:tcW w:w="320" w:type="dxa"/>
            <w:vAlign w:val="bottom"/>
            <w:gridSpan w:val="2"/>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(18,334)</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4,845</w:t>
            </w:r>
          </w:p>
        </w:tc>
        <w:tc>
          <w:tcPr>
            <w:tcW w:w="0" w:type="dxa"/>
            <w:vAlign w:val="bottom"/>
          </w:tcPr>
          <w:p>
            <w:pPr>
              <w:spacing w:after="0"/>
              <w:rPr>
                <w:sz w:val="1"/>
                <w:szCs w:val="1"/>
                <w:color w:val="auto"/>
              </w:rPr>
            </w:pPr>
          </w:p>
        </w:tc>
      </w:tr>
      <w:tr>
        <w:trPr>
          <w:trHeight w:val="227"/>
        </w:trPr>
        <w:tc>
          <w:tcPr>
            <w:tcW w:w="60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income (loss) per common share - basic</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0.37</w:t>
            </w:r>
          </w:p>
        </w:tc>
        <w:tc>
          <w:tcPr>
            <w:tcW w:w="320" w:type="dxa"/>
            <w:vAlign w:val="bottom"/>
            <w:gridSpan w:val="2"/>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(0.15)</w:t>
            </w:r>
          </w:p>
        </w:tc>
        <w:tc>
          <w:tcPr>
            <w:tcW w:w="8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0.03</w:t>
            </w:r>
          </w:p>
        </w:tc>
        <w:tc>
          <w:tcPr>
            <w:tcW w:w="0" w:type="dxa"/>
            <w:vAlign w:val="bottom"/>
          </w:tcPr>
          <w:p>
            <w:pPr>
              <w:spacing w:after="0"/>
              <w:rPr>
                <w:sz w:val="1"/>
                <w:szCs w:val="1"/>
                <w:color w:val="auto"/>
              </w:rPr>
            </w:pPr>
          </w:p>
        </w:tc>
      </w:tr>
      <w:tr>
        <w:trPr>
          <w:trHeight w:val="233"/>
        </w:trPr>
        <w:tc>
          <w:tcPr>
            <w:tcW w:w="6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 (loss) per common share - diluted</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0.37</w:t>
            </w:r>
          </w:p>
        </w:tc>
        <w:tc>
          <w:tcPr>
            <w:tcW w:w="320" w:type="dxa"/>
            <w:vAlign w:val="bottom"/>
            <w:gridSpan w:val="2"/>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(0.15)</w:t>
            </w: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0.03</w:t>
            </w:r>
          </w:p>
        </w:tc>
        <w:tc>
          <w:tcPr>
            <w:tcW w:w="0" w:type="dxa"/>
            <w:vAlign w:val="bottom"/>
          </w:tcPr>
          <w:p>
            <w:pPr>
              <w:spacing w:after="0"/>
              <w:rPr>
                <w:sz w:val="1"/>
                <w:szCs w:val="1"/>
                <w:color w:val="auto"/>
              </w:rPr>
            </w:pPr>
          </w:p>
        </w:tc>
      </w:tr>
      <w:tr>
        <w:trPr>
          <w:trHeight w:val="227"/>
        </w:trPr>
        <w:tc>
          <w:tcPr>
            <w:tcW w:w="60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Adjustments:</w:t>
            </w:r>
          </w:p>
        </w:tc>
        <w:tc>
          <w:tcPr>
            <w:tcW w:w="16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6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Non-cash equity compensation expense</w:t>
            </w:r>
          </w:p>
        </w:tc>
        <w:tc>
          <w:tcPr>
            <w:tcW w:w="160" w:type="dxa"/>
            <w:vAlign w:val="bottom"/>
            <w:shd w:val="clear" w:color="auto" w:fill="CCEEFF"/>
          </w:tcPr>
          <w:p>
            <w:pPr>
              <w:spacing w:after="0"/>
              <w:rPr>
                <w:sz w:val="20"/>
                <w:szCs w:val="20"/>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3,581</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3,443</w:t>
            </w: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2,918</w:t>
            </w:r>
          </w:p>
        </w:tc>
        <w:tc>
          <w:tcPr>
            <w:tcW w:w="0" w:type="dxa"/>
            <w:vAlign w:val="bottom"/>
          </w:tcPr>
          <w:p>
            <w:pPr>
              <w:spacing w:after="0"/>
              <w:rPr>
                <w:sz w:val="1"/>
                <w:szCs w:val="1"/>
                <w:color w:val="auto"/>
              </w:rPr>
            </w:pPr>
          </w:p>
        </w:tc>
      </w:tr>
      <w:tr>
        <w:trPr>
          <w:trHeight w:val="227"/>
        </w:trPr>
        <w:tc>
          <w:tcPr>
            <w:tcW w:w="60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16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4,228</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8,340</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8,763</w:t>
            </w:r>
          </w:p>
        </w:tc>
        <w:tc>
          <w:tcPr>
            <w:tcW w:w="0" w:type="dxa"/>
            <w:vAlign w:val="bottom"/>
          </w:tcPr>
          <w:p>
            <w:pPr>
              <w:spacing w:after="0"/>
              <w:rPr>
                <w:sz w:val="1"/>
                <w:szCs w:val="1"/>
                <w:color w:val="auto"/>
              </w:rPr>
            </w:pPr>
          </w:p>
        </w:tc>
      </w:tr>
      <w:tr>
        <w:trPr>
          <w:trHeight w:val="233"/>
        </w:trPr>
        <w:tc>
          <w:tcPr>
            <w:tcW w:w="6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unrealized loss (gain):</w:t>
            </w:r>
          </w:p>
        </w:tc>
        <w:tc>
          <w:tcPr>
            <w:tcW w:w="160" w:type="dxa"/>
            <w:vAlign w:val="bottom"/>
            <w:shd w:val="clear" w:color="auto" w:fill="CCEEFF"/>
          </w:tcPr>
          <w:p>
            <w:pPr>
              <w:spacing w:after="0"/>
              <w:rPr>
                <w:sz w:val="20"/>
                <w:szCs w:val="20"/>
                <w:color w:val="auto"/>
              </w:rPr>
            </w:pPr>
          </w:p>
        </w:tc>
        <w:tc>
          <w:tcPr>
            <w:tcW w:w="16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3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4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6"/>
        </w:trPr>
        <w:tc>
          <w:tcPr>
            <w:tcW w:w="60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Impairment of operating real estate, net and unconsolidated ventures</w:t>
            </w:r>
          </w:p>
        </w:tc>
        <w:tc>
          <w:tcPr>
            <w:tcW w:w="16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5,986</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9,872</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33"/>
        </w:trPr>
        <w:tc>
          <w:tcPr>
            <w:tcW w:w="6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General CECL reserves</w:t>
            </w:r>
          </w:p>
        </w:tc>
        <w:tc>
          <w:tcPr>
            <w:tcW w:w="160" w:type="dxa"/>
            <w:vAlign w:val="bottom"/>
            <w:shd w:val="clear" w:color="auto" w:fill="CCEEFF"/>
          </w:tcPr>
          <w:p>
            <w:pPr>
              <w:spacing w:after="0"/>
              <w:rPr>
                <w:sz w:val="20"/>
                <w:szCs w:val="20"/>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7,548</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12,515</w:t>
            </w: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(889)</w:t>
            </w:r>
          </w:p>
        </w:tc>
        <w:tc>
          <w:tcPr>
            <w:tcW w:w="0" w:type="dxa"/>
            <w:vAlign w:val="bottom"/>
          </w:tcPr>
          <w:p>
            <w:pPr>
              <w:spacing w:after="0"/>
              <w:rPr>
                <w:sz w:val="1"/>
                <w:szCs w:val="1"/>
                <w:color w:val="auto"/>
              </w:rPr>
            </w:pPr>
          </w:p>
        </w:tc>
      </w:tr>
      <w:tr>
        <w:trPr>
          <w:trHeight w:val="176"/>
        </w:trPr>
        <w:tc>
          <w:tcPr>
            <w:tcW w:w="6060" w:type="dxa"/>
            <w:vAlign w:val="bottom"/>
          </w:tcPr>
          <w:p>
            <w:pPr>
              <w:ind w:left="20"/>
              <w:spacing w:after="0" w:line="175" w:lineRule="exact"/>
              <w:rPr>
                <w:sz w:val="20"/>
                <w:szCs w:val="20"/>
                <w:color w:val="auto"/>
              </w:rPr>
            </w:pPr>
            <w:r>
              <w:rPr>
                <w:rFonts w:ascii="Times New Roman" w:cs="Times New Roman" w:eastAsia="Times New Roman" w:hAnsi="Times New Roman"/>
                <w:sz w:val="16"/>
                <w:szCs w:val="16"/>
                <w:color w:val="auto"/>
              </w:rPr>
              <w:t>(Gain) loss on sales of real estate, preferred equity and investments in unconsolidated joint</w:t>
            </w:r>
          </w:p>
        </w:tc>
        <w:tc>
          <w:tcPr>
            <w:tcW w:w="160" w:type="dxa"/>
            <w:vAlign w:val="bottom"/>
          </w:tcPr>
          <w:p>
            <w:pPr>
              <w:spacing w:after="0"/>
              <w:rPr>
                <w:sz w:val="15"/>
                <w:szCs w:val="15"/>
                <w:color w:val="auto"/>
              </w:rPr>
            </w:pPr>
          </w:p>
        </w:tc>
        <w:tc>
          <w:tcPr>
            <w:tcW w:w="16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(60,322)</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25</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16"/>
        </w:trPr>
        <w:tc>
          <w:tcPr>
            <w:tcW w:w="60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ventures</w:t>
            </w:r>
          </w:p>
        </w:tc>
        <w:tc>
          <w:tcPr>
            <w:tcW w:w="160" w:type="dxa"/>
            <w:vAlign w:val="bottom"/>
          </w:tcPr>
          <w:p>
            <w:pPr>
              <w:spacing w:after="0"/>
              <w:rPr>
                <w:sz w:val="18"/>
                <w:szCs w:val="18"/>
                <w:color w:val="auto"/>
              </w:rPr>
            </w:pPr>
          </w:p>
        </w:tc>
        <w:tc>
          <w:tcPr>
            <w:tcW w:w="16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6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Adjustments related to noncontrolling interests</w:t>
            </w:r>
          </w:p>
        </w:tc>
        <w:tc>
          <w:tcPr>
            <w:tcW w:w="160" w:type="dxa"/>
            <w:vAlign w:val="bottom"/>
            <w:tcBorders>
              <w:bottom w:val="single" w:sz="8" w:color="auto"/>
            </w:tcBorders>
            <w:shd w:val="clear" w:color="auto" w:fill="CCEEFF"/>
          </w:tcPr>
          <w:p>
            <w:pPr>
              <w:spacing w:after="0"/>
              <w:rPr>
                <w:sz w:val="19"/>
                <w:szCs w:val="19"/>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2,320</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w:t>
            </w:r>
          </w:p>
        </w:tc>
        <w:tc>
          <w:tcPr>
            <w:tcW w:w="8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w:t>
            </w:r>
          </w:p>
        </w:tc>
        <w:tc>
          <w:tcPr>
            <w:tcW w:w="0" w:type="dxa"/>
            <w:vAlign w:val="bottom"/>
          </w:tcPr>
          <w:p>
            <w:pPr>
              <w:spacing w:after="0"/>
              <w:rPr>
                <w:sz w:val="1"/>
                <w:szCs w:val="1"/>
                <w:color w:val="auto"/>
              </w:rPr>
            </w:pPr>
          </w:p>
        </w:tc>
      </w:tr>
      <w:tr>
        <w:trPr>
          <w:trHeight w:val="223"/>
        </w:trPr>
        <w:tc>
          <w:tcPr>
            <w:tcW w:w="60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Distributable Earnings attributable to BrightSpire Capital, Inc. common stockholders</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10,275</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15,794</w:t>
            </w:r>
          </w:p>
        </w:tc>
        <w:tc>
          <w:tcPr>
            <w:tcW w:w="8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15,568</w:t>
            </w:r>
          </w:p>
        </w:tc>
        <w:tc>
          <w:tcPr>
            <w:tcW w:w="0" w:type="dxa"/>
            <w:vAlign w:val="bottom"/>
          </w:tcPr>
          <w:p>
            <w:pPr>
              <w:spacing w:after="0"/>
              <w:rPr>
                <w:sz w:val="1"/>
                <w:szCs w:val="1"/>
                <w:color w:val="auto"/>
              </w:rPr>
            </w:pPr>
          </w:p>
        </w:tc>
      </w:tr>
      <w:tr>
        <w:trPr>
          <w:trHeight w:val="246"/>
        </w:trPr>
        <w:tc>
          <w:tcPr>
            <w:tcW w:w="6060" w:type="dxa"/>
            <w:vAlign w:val="bottom"/>
            <w:shd w:val="clear" w:color="auto" w:fill="CCEEFF"/>
          </w:tcPr>
          <w:p>
            <w:pPr>
              <w:ind w:left="20"/>
              <w:spacing w:after="0" w:line="226" w:lineRule="exact"/>
              <w:rPr>
                <w:sz w:val="20"/>
                <w:szCs w:val="20"/>
                <w:color w:val="auto"/>
              </w:rPr>
            </w:pPr>
            <w:r>
              <w:rPr>
                <w:rFonts w:ascii="Times New Roman" w:cs="Times New Roman" w:eastAsia="Times New Roman" w:hAnsi="Times New Roman"/>
                <w:sz w:val="16"/>
                <w:szCs w:val="16"/>
                <w:color w:val="auto"/>
              </w:rPr>
              <w:t>Distributable Earnings per share</w:t>
            </w:r>
            <w:r>
              <w:rPr>
                <w:rFonts w:ascii="Times New Roman" w:cs="Times New Roman" w:eastAsia="Times New Roman" w:hAnsi="Times New Roman"/>
                <w:sz w:val="21"/>
                <w:szCs w:val="21"/>
                <w:color w:val="auto"/>
                <w:vertAlign w:val="superscript"/>
              </w:rPr>
              <w:t>(1)</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0.08</w:t>
            </w:r>
          </w:p>
        </w:tc>
        <w:tc>
          <w:tcPr>
            <w:tcW w:w="320" w:type="dxa"/>
            <w:vAlign w:val="bottom"/>
            <w:gridSpan w:val="2"/>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0.12</w:t>
            </w: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0.12</w:t>
            </w:r>
          </w:p>
        </w:tc>
        <w:tc>
          <w:tcPr>
            <w:tcW w:w="0" w:type="dxa"/>
            <w:vAlign w:val="bottom"/>
          </w:tcPr>
          <w:p>
            <w:pPr>
              <w:spacing w:after="0"/>
              <w:rPr>
                <w:sz w:val="1"/>
                <w:szCs w:val="1"/>
                <w:color w:val="auto"/>
              </w:rPr>
            </w:pPr>
          </w:p>
        </w:tc>
      </w:tr>
      <w:tr>
        <w:trPr>
          <w:trHeight w:val="20"/>
        </w:trPr>
        <w:tc>
          <w:tcPr>
            <w:tcW w:w="60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60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6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Adjustments:</w:t>
            </w:r>
          </w:p>
        </w:tc>
        <w:tc>
          <w:tcPr>
            <w:tcW w:w="160" w:type="dxa"/>
            <w:vAlign w:val="bottom"/>
            <w:shd w:val="clear" w:color="auto" w:fill="CCEEFF"/>
          </w:tcPr>
          <w:p>
            <w:pPr>
              <w:spacing w:after="0"/>
              <w:rPr>
                <w:sz w:val="19"/>
                <w:szCs w:val="19"/>
                <w:color w:val="auto"/>
              </w:rPr>
            </w:pPr>
          </w:p>
        </w:tc>
        <w:tc>
          <w:tcPr>
            <w:tcW w:w="1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60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Specific CECL reserves</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7,490</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987</w:t>
            </w:r>
          </w:p>
        </w:tc>
        <w:tc>
          <w:tcPr>
            <w:tcW w:w="8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2,634</w:t>
            </w:r>
          </w:p>
        </w:tc>
        <w:tc>
          <w:tcPr>
            <w:tcW w:w="0" w:type="dxa"/>
            <w:vAlign w:val="bottom"/>
          </w:tcPr>
          <w:p>
            <w:pPr>
              <w:spacing w:after="0"/>
              <w:rPr>
                <w:sz w:val="1"/>
                <w:szCs w:val="1"/>
                <w:color w:val="auto"/>
              </w:rPr>
            </w:pPr>
          </w:p>
        </w:tc>
      </w:tr>
      <w:tr>
        <w:trPr>
          <w:trHeight w:val="159"/>
        </w:trPr>
        <w:tc>
          <w:tcPr>
            <w:tcW w:w="6060" w:type="dxa"/>
            <w:vAlign w:val="bottom"/>
            <w:shd w:val="clear" w:color="auto" w:fill="CCEEFF"/>
          </w:tcPr>
          <w:p>
            <w:pPr>
              <w:ind w:left="20"/>
              <w:spacing w:after="0" w:line="158" w:lineRule="exact"/>
              <w:rPr>
                <w:sz w:val="20"/>
                <w:szCs w:val="20"/>
                <w:color w:val="auto"/>
              </w:rPr>
            </w:pPr>
            <w:r>
              <w:rPr>
                <w:rFonts w:ascii="Times New Roman" w:cs="Times New Roman" w:eastAsia="Times New Roman" w:hAnsi="Times New Roman"/>
                <w:sz w:val="16"/>
                <w:szCs w:val="16"/>
                <w:color w:val="auto"/>
              </w:rPr>
              <w:t>Adjusted Distributable Earnings attributable to BrightSpire Capital, Inc. common</w:t>
            </w:r>
          </w:p>
        </w:tc>
        <w:tc>
          <w:tcPr>
            <w:tcW w:w="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17,765</w:t>
            </w:r>
          </w:p>
        </w:tc>
        <w:tc>
          <w:tcPr>
            <w:tcW w:w="100" w:type="dxa"/>
            <w:vAlign w:val="bottom"/>
            <w:vMerge w:val="restart"/>
            <w:shd w:val="clear" w:color="auto" w:fill="CCEEFF"/>
          </w:tcPr>
          <w:p>
            <w:pPr>
              <w:spacing w:after="0"/>
              <w:rPr>
                <w:sz w:val="13"/>
                <w:szCs w:val="13"/>
                <w:color w:val="auto"/>
              </w:rPr>
            </w:pPr>
          </w:p>
        </w:tc>
        <w:tc>
          <w:tcPr>
            <w:tcW w:w="220" w:type="dxa"/>
            <w:vAlign w:val="bottom"/>
            <w:vMerge w:val="restart"/>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16,781</w:t>
            </w:r>
          </w:p>
        </w:tc>
        <w:tc>
          <w:tcPr>
            <w:tcW w:w="80" w:type="dxa"/>
            <w:vAlign w:val="bottom"/>
            <w:shd w:val="clear" w:color="auto" w:fill="CCEEFF"/>
          </w:tcPr>
          <w:p>
            <w:pPr>
              <w:spacing w:after="0"/>
              <w:rPr>
                <w:sz w:val="13"/>
                <w:szCs w:val="13"/>
                <w:color w:val="auto"/>
              </w:rPr>
            </w:pPr>
          </w:p>
        </w:tc>
        <w:tc>
          <w:tcPr>
            <w:tcW w:w="1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18,202</w:t>
            </w:r>
          </w:p>
        </w:tc>
        <w:tc>
          <w:tcPr>
            <w:tcW w:w="0" w:type="dxa"/>
            <w:vAlign w:val="bottom"/>
          </w:tcPr>
          <w:p>
            <w:pPr>
              <w:spacing w:after="0"/>
              <w:rPr>
                <w:sz w:val="1"/>
                <w:szCs w:val="1"/>
                <w:color w:val="auto"/>
              </w:rPr>
            </w:pPr>
          </w:p>
        </w:tc>
      </w:tr>
      <w:tr>
        <w:trPr>
          <w:trHeight w:val="218"/>
        </w:trPr>
        <w:tc>
          <w:tcPr>
            <w:tcW w:w="6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stockholders</w:t>
            </w:r>
          </w:p>
        </w:tc>
        <w:tc>
          <w:tcPr>
            <w:tcW w:w="160" w:type="dxa"/>
            <w:vAlign w:val="bottom"/>
            <w:tcBorders>
              <w:bottom w:val="single" w:sz="8" w:color="auto"/>
            </w:tcBorders>
            <w:vMerge w:val="continue"/>
            <w:shd w:val="clear" w:color="auto" w:fill="CCEEFF"/>
          </w:tcPr>
          <w:p>
            <w:pPr>
              <w:spacing w:after="0"/>
              <w:rPr>
                <w:sz w:val="18"/>
                <w:szCs w:val="18"/>
                <w:color w:val="auto"/>
              </w:rPr>
            </w:pPr>
          </w:p>
        </w:tc>
        <w:tc>
          <w:tcPr>
            <w:tcW w:w="164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vMerge w:val="continue"/>
            <w:shd w:val="clear" w:color="auto" w:fill="CCEEFF"/>
          </w:tcPr>
          <w:p>
            <w:pPr>
              <w:spacing w:after="0"/>
              <w:rPr>
                <w:sz w:val="18"/>
                <w:szCs w:val="18"/>
                <w:color w:val="auto"/>
              </w:rPr>
            </w:pPr>
          </w:p>
        </w:tc>
        <w:tc>
          <w:tcPr>
            <w:tcW w:w="220" w:type="dxa"/>
            <w:vAlign w:val="bottom"/>
            <w:tcBorders>
              <w:bottom w:val="single" w:sz="8" w:color="auto"/>
            </w:tcBorders>
            <w:vMerge w:val="continue"/>
            <w:shd w:val="clear" w:color="auto" w:fill="CCEEFF"/>
          </w:tcPr>
          <w:p>
            <w:pPr>
              <w:spacing w:after="0"/>
              <w:rPr>
                <w:sz w:val="18"/>
                <w:szCs w:val="18"/>
                <w:color w:val="auto"/>
              </w:rPr>
            </w:pPr>
          </w:p>
        </w:tc>
        <w:tc>
          <w:tcPr>
            <w:tcW w:w="1380" w:type="dxa"/>
            <w:vAlign w:val="bottom"/>
            <w:tcBorders>
              <w:bottom w:val="single" w:sz="8" w:color="auto"/>
            </w:tcBorders>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tcBorders>
              <w:bottom w:val="single" w:sz="8" w:color="auto"/>
            </w:tcBorders>
            <w:vMerge w:val="continue"/>
            <w:shd w:val="clear" w:color="auto" w:fill="CCEEFF"/>
          </w:tcPr>
          <w:p>
            <w:pPr>
              <w:spacing w:after="0"/>
              <w:rPr>
                <w:sz w:val="18"/>
                <w:szCs w:val="18"/>
                <w:color w:val="auto"/>
              </w:rPr>
            </w:pPr>
          </w:p>
        </w:tc>
        <w:tc>
          <w:tcPr>
            <w:tcW w:w="1420" w:type="dxa"/>
            <w:vAlign w:val="bottom"/>
            <w:tcBorders>
              <w:bottom w:val="single" w:sz="8" w:color="auto"/>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6060" w:type="dxa"/>
            <w:vAlign w:val="bottom"/>
          </w:tcPr>
          <w:p>
            <w:pPr>
              <w:ind w:left="20"/>
              <w:spacing w:after="0" w:line="226" w:lineRule="exact"/>
              <w:rPr>
                <w:sz w:val="20"/>
                <w:szCs w:val="20"/>
                <w:color w:val="auto"/>
              </w:rPr>
            </w:pPr>
            <w:r>
              <w:rPr>
                <w:rFonts w:ascii="Times New Roman" w:cs="Times New Roman" w:eastAsia="Times New Roman" w:hAnsi="Times New Roman"/>
                <w:sz w:val="16"/>
                <w:szCs w:val="16"/>
                <w:color w:val="auto"/>
              </w:rPr>
              <w:t>Adjusted Distributable Earnings per share</w:t>
            </w:r>
            <w:r>
              <w:rPr>
                <w:rFonts w:ascii="Times New Roman" w:cs="Times New Roman" w:eastAsia="Times New Roman" w:hAnsi="Times New Roman"/>
                <w:sz w:val="21"/>
                <w:szCs w:val="21"/>
                <w:color w:val="auto"/>
                <w:vertAlign w:val="superscript"/>
              </w:rPr>
              <w:t>(1)</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0.14</w:t>
            </w:r>
          </w:p>
        </w:tc>
        <w:tc>
          <w:tcPr>
            <w:tcW w:w="320" w:type="dxa"/>
            <w:vAlign w:val="bottom"/>
            <w:gridSpan w:val="2"/>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0.13</w:t>
            </w:r>
          </w:p>
        </w:tc>
        <w:tc>
          <w:tcPr>
            <w:tcW w:w="8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0.14</w:t>
            </w:r>
          </w:p>
        </w:tc>
        <w:tc>
          <w:tcPr>
            <w:tcW w:w="0" w:type="dxa"/>
            <w:vAlign w:val="bottom"/>
          </w:tcPr>
          <w:p>
            <w:pPr>
              <w:spacing w:after="0"/>
              <w:rPr>
                <w:sz w:val="1"/>
                <w:szCs w:val="1"/>
                <w:color w:val="auto"/>
              </w:rPr>
            </w:pPr>
          </w:p>
        </w:tc>
      </w:tr>
      <w:tr>
        <w:trPr>
          <w:trHeight w:val="20"/>
        </w:trPr>
        <w:tc>
          <w:tcPr>
            <w:tcW w:w="6060" w:type="dxa"/>
            <w:vAlign w:val="bottom"/>
            <w:tcBorders>
              <w:bottom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6060" w:type="dxa"/>
            <w:vAlign w:val="bottom"/>
            <w:shd w:val="clear" w:color="auto" w:fill="CCEEFF"/>
          </w:tcPr>
          <w:p>
            <w:pPr>
              <w:ind w:left="20"/>
              <w:spacing w:after="0" w:line="224" w:lineRule="exact"/>
              <w:rPr>
                <w:sz w:val="20"/>
                <w:szCs w:val="20"/>
                <w:color w:val="auto"/>
              </w:rPr>
            </w:pPr>
            <w:r>
              <w:rPr>
                <w:rFonts w:ascii="Times New Roman" w:cs="Times New Roman" w:eastAsia="Times New Roman" w:hAnsi="Times New Roman"/>
                <w:sz w:val="16"/>
                <w:szCs w:val="16"/>
                <w:color w:val="auto"/>
              </w:rPr>
              <w:t>Weighted average number of shares of Class A common stock</w:t>
            </w:r>
            <w:r>
              <w:rPr>
                <w:rFonts w:ascii="Times New Roman" w:cs="Times New Roman" w:eastAsia="Times New Roman" w:hAnsi="Times New Roman"/>
                <w:sz w:val="21"/>
                <w:szCs w:val="21"/>
                <w:color w:val="auto"/>
                <w:vertAlign w:val="superscript"/>
              </w:rPr>
              <w:t>(1)</w:t>
            </w:r>
          </w:p>
        </w:tc>
        <w:tc>
          <w:tcPr>
            <w:tcW w:w="16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125,796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130,258</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128,921</w:t>
            </w:r>
          </w:p>
        </w:tc>
        <w:tc>
          <w:tcPr>
            <w:tcW w:w="0" w:type="dxa"/>
            <w:vAlign w:val="bottom"/>
          </w:tcPr>
          <w:p>
            <w:pPr>
              <w:spacing w:after="0"/>
              <w:rPr>
                <w:sz w:val="1"/>
                <w:szCs w:val="1"/>
                <w:color w:val="auto"/>
              </w:rPr>
            </w:pPr>
          </w:p>
        </w:tc>
      </w:tr>
    </w:tbl>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________________________________________</w:t>
      </w:r>
    </w:p>
    <w:p>
      <w:pPr>
        <w:spacing w:after="0" w:line="27" w:lineRule="exact"/>
        <w:rPr>
          <w:sz w:val="20"/>
          <w:szCs w:val="20"/>
          <w:color w:val="auto"/>
        </w:rPr>
      </w:pPr>
    </w:p>
    <w:p>
      <w:pPr>
        <w:ind w:left="340" w:hanging="332"/>
        <w:spacing w:after="0" w:line="283" w:lineRule="auto"/>
        <w:tabs>
          <w:tab w:leader="none" w:pos="332" w:val="left"/>
        </w:tabs>
        <w:numPr>
          <w:ilvl w:val="0"/>
          <w:numId w:val="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calculate Distributable Earnings per share, and Adjusted Distributable Earnings per share, non-GAAP financial measures, based on a weighted-average number of common shares. The weighted average number of common shares includes unvested restricted stock.</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0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tcPr>
          <w:p>
            <w:pPr>
              <w:spacing w:after="0"/>
              <w:rPr>
                <w:sz w:val="18"/>
                <w:szCs w:val="18"/>
                <w:color w:val="auto"/>
              </w:rPr>
            </w:pPr>
          </w:p>
        </w:tc>
        <w:tc>
          <w:tcPr>
            <w:tcW w:w="1780" w:type="dxa"/>
            <w:vAlign w:val="bottom"/>
            <w:tcBorders>
              <w:bottom w:val="single" w:sz="8" w:color="auto"/>
            </w:tcBorders>
            <w:gridSpan w:val="4"/>
          </w:tcPr>
          <w:p>
            <w:pPr>
              <w:ind w:left="6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18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06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September 30, 2025</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259"/>
              <w:spacing w:after="0"/>
              <w:rPr>
                <w:sz w:val="20"/>
                <w:szCs w:val="20"/>
                <w:color w:val="auto"/>
              </w:rPr>
            </w:pPr>
            <w:r>
              <w:rPr>
                <w:rFonts w:ascii="Times New Roman" w:cs="Times New Roman" w:eastAsia="Times New Roman" w:hAnsi="Times New Roman"/>
                <w:sz w:val="16"/>
                <w:szCs w:val="16"/>
                <w:b w:val="1"/>
                <w:bCs w:val="1"/>
                <w:color w:val="auto"/>
              </w:rPr>
              <w:t>June 30, 2025</w:t>
            </w:r>
          </w:p>
        </w:tc>
        <w:tc>
          <w:tcPr>
            <w:tcW w:w="8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March 31, 2025</w:t>
            </w:r>
          </w:p>
        </w:tc>
        <w:tc>
          <w:tcPr>
            <w:tcW w:w="0" w:type="dxa"/>
            <w:vAlign w:val="bottom"/>
          </w:tcPr>
          <w:p>
            <w:pPr>
              <w:spacing w:after="0"/>
              <w:rPr>
                <w:sz w:val="1"/>
                <w:szCs w:val="1"/>
                <w:color w:val="auto"/>
              </w:rPr>
            </w:pPr>
          </w:p>
        </w:tc>
      </w:tr>
      <w:tr>
        <w:trPr>
          <w:trHeight w:val="226"/>
        </w:trPr>
        <w:tc>
          <w:tcPr>
            <w:tcW w:w="6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 (loss) attributable to BrightSpire Capital, Inc. common stockholders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984</w:t>
            </w:r>
          </w:p>
        </w:tc>
        <w:tc>
          <w:tcPr>
            <w:tcW w:w="320" w:type="dxa"/>
            <w:vAlign w:val="bottom"/>
            <w:gridSpan w:val="2"/>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(23,118)</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5,342</w:t>
            </w:r>
          </w:p>
        </w:tc>
        <w:tc>
          <w:tcPr>
            <w:tcW w:w="0" w:type="dxa"/>
            <w:vAlign w:val="bottom"/>
          </w:tcPr>
          <w:p>
            <w:pPr>
              <w:spacing w:after="0"/>
              <w:rPr>
                <w:sz w:val="1"/>
                <w:szCs w:val="1"/>
                <w:color w:val="auto"/>
              </w:rPr>
            </w:pPr>
          </w:p>
        </w:tc>
      </w:tr>
      <w:tr>
        <w:trPr>
          <w:trHeight w:val="227"/>
        </w:trPr>
        <w:tc>
          <w:tcPr>
            <w:tcW w:w="60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income (loss) per common share - basic</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0.00</w:t>
            </w:r>
          </w:p>
        </w:tc>
        <w:tc>
          <w:tcPr>
            <w:tcW w:w="320" w:type="dxa"/>
            <w:vAlign w:val="bottom"/>
            <w:gridSpan w:val="2"/>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(0.19)</w:t>
            </w:r>
          </w:p>
        </w:tc>
        <w:tc>
          <w:tcPr>
            <w:tcW w:w="8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0.04</w:t>
            </w:r>
          </w:p>
        </w:tc>
        <w:tc>
          <w:tcPr>
            <w:tcW w:w="0" w:type="dxa"/>
            <w:vAlign w:val="bottom"/>
          </w:tcPr>
          <w:p>
            <w:pPr>
              <w:spacing w:after="0"/>
              <w:rPr>
                <w:sz w:val="1"/>
                <w:szCs w:val="1"/>
                <w:color w:val="auto"/>
              </w:rPr>
            </w:pPr>
          </w:p>
        </w:tc>
      </w:tr>
      <w:tr>
        <w:trPr>
          <w:trHeight w:val="233"/>
        </w:trPr>
        <w:tc>
          <w:tcPr>
            <w:tcW w:w="6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 (loss) per common share - diluted</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0.00</w:t>
            </w:r>
          </w:p>
        </w:tc>
        <w:tc>
          <w:tcPr>
            <w:tcW w:w="320" w:type="dxa"/>
            <w:vAlign w:val="bottom"/>
            <w:gridSpan w:val="2"/>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(0.19)</w:t>
            </w: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0.04</w:t>
            </w:r>
          </w:p>
        </w:tc>
        <w:tc>
          <w:tcPr>
            <w:tcW w:w="0" w:type="dxa"/>
            <w:vAlign w:val="bottom"/>
          </w:tcPr>
          <w:p>
            <w:pPr>
              <w:spacing w:after="0"/>
              <w:rPr>
                <w:sz w:val="1"/>
                <w:szCs w:val="1"/>
                <w:color w:val="auto"/>
              </w:rPr>
            </w:pPr>
          </w:p>
        </w:tc>
      </w:tr>
      <w:tr>
        <w:trPr>
          <w:trHeight w:val="227"/>
        </w:trPr>
        <w:tc>
          <w:tcPr>
            <w:tcW w:w="60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Adjustments:</w:t>
            </w:r>
          </w:p>
        </w:tc>
        <w:tc>
          <w:tcPr>
            <w:tcW w:w="16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6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Non-cash equity compensation expense</w:t>
            </w:r>
          </w:p>
        </w:tc>
        <w:tc>
          <w:tcPr>
            <w:tcW w:w="160" w:type="dxa"/>
            <w:vAlign w:val="bottom"/>
            <w:shd w:val="clear" w:color="auto" w:fill="CCEEFF"/>
          </w:tcPr>
          <w:p>
            <w:pPr>
              <w:spacing w:after="0"/>
              <w:rPr>
                <w:sz w:val="20"/>
                <w:szCs w:val="20"/>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2,794</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2,913</w:t>
            </w: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4,213</w:t>
            </w:r>
          </w:p>
        </w:tc>
        <w:tc>
          <w:tcPr>
            <w:tcW w:w="0" w:type="dxa"/>
            <w:vAlign w:val="bottom"/>
          </w:tcPr>
          <w:p>
            <w:pPr>
              <w:spacing w:after="0"/>
              <w:rPr>
                <w:sz w:val="1"/>
                <w:szCs w:val="1"/>
                <w:color w:val="auto"/>
              </w:rPr>
            </w:pPr>
          </w:p>
        </w:tc>
      </w:tr>
      <w:tr>
        <w:trPr>
          <w:trHeight w:val="227"/>
        </w:trPr>
        <w:tc>
          <w:tcPr>
            <w:tcW w:w="60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16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7,514</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10,676</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10,748</w:t>
            </w:r>
          </w:p>
        </w:tc>
        <w:tc>
          <w:tcPr>
            <w:tcW w:w="0" w:type="dxa"/>
            <w:vAlign w:val="bottom"/>
          </w:tcPr>
          <w:p>
            <w:pPr>
              <w:spacing w:after="0"/>
              <w:rPr>
                <w:sz w:val="1"/>
                <w:szCs w:val="1"/>
                <w:color w:val="auto"/>
              </w:rPr>
            </w:pPr>
          </w:p>
        </w:tc>
      </w:tr>
      <w:tr>
        <w:trPr>
          <w:trHeight w:val="233"/>
        </w:trPr>
        <w:tc>
          <w:tcPr>
            <w:tcW w:w="6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unrealized loss (gain):</w:t>
            </w:r>
          </w:p>
        </w:tc>
        <w:tc>
          <w:tcPr>
            <w:tcW w:w="160" w:type="dxa"/>
            <w:vAlign w:val="bottom"/>
            <w:shd w:val="clear" w:color="auto" w:fill="CCEEFF"/>
          </w:tcPr>
          <w:p>
            <w:pPr>
              <w:spacing w:after="0"/>
              <w:rPr>
                <w:sz w:val="20"/>
                <w:szCs w:val="20"/>
                <w:color w:val="auto"/>
              </w:rPr>
            </w:pPr>
          </w:p>
        </w:tc>
        <w:tc>
          <w:tcPr>
            <w:tcW w:w="16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3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4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6"/>
        </w:trPr>
        <w:tc>
          <w:tcPr>
            <w:tcW w:w="60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Impairment of operating real estate, net of associated income tax benefit</w:t>
            </w:r>
          </w:p>
        </w:tc>
        <w:tc>
          <w:tcPr>
            <w:tcW w:w="16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2,509</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28,820</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33"/>
        </w:trPr>
        <w:tc>
          <w:tcPr>
            <w:tcW w:w="6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unrealized loss on investments</w:t>
            </w:r>
          </w:p>
        </w:tc>
        <w:tc>
          <w:tcPr>
            <w:tcW w:w="160" w:type="dxa"/>
            <w:vAlign w:val="bottom"/>
            <w:shd w:val="clear" w:color="auto" w:fill="CCEEFF"/>
          </w:tcPr>
          <w:p>
            <w:pPr>
              <w:spacing w:after="0"/>
              <w:rPr>
                <w:sz w:val="20"/>
                <w:szCs w:val="20"/>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3,361</w:t>
            </w: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0" w:type="dxa"/>
            <w:vAlign w:val="bottom"/>
          </w:tcPr>
          <w:p>
            <w:pPr>
              <w:spacing w:after="0"/>
              <w:rPr>
                <w:sz w:val="1"/>
                <w:szCs w:val="1"/>
                <w:color w:val="auto"/>
              </w:rPr>
            </w:pPr>
          </w:p>
        </w:tc>
      </w:tr>
      <w:tr>
        <w:trPr>
          <w:trHeight w:val="227"/>
        </w:trPr>
        <w:tc>
          <w:tcPr>
            <w:tcW w:w="60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General CECL reserves</w:t>
            </w:r>
          </w:p>
        </w:tc>
        <w:tc>
          <w:tcPr>
            <w:tcW w:w="16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(9,676)</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(18,900)</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(9,018)</w:t>
            </w:r>
          </w:p>
        </w:tc>
        <w:tc>
          <w:tcPr>
            <w:tcW w:w="0" w:type="dxa"/>
            <w:vAlign w:val="bottom"/>
          </w:tcPr>
          <w:p>
            <w:pPr>
              <w:spacing w:after="0"/>
              <w:rPr>
                <w:sz w:val="1"/>
                <w:szCs w:val="1"/>
                <w:color w:val="auto"/>
              </w:rPr>
            </w:pPr>
          </w:p>
        </w:tc>
      </w:tr>
      <w:tr>
        <w:trPr>
          <w:trHeight w:val="178"/>
        </w:trPr>
        <w:tc>
          <w:tcPr>
            <w:tcW w:w="6060" w:type="dxa"/>
            <w:vAlign w:val="bottom"/>
            <w:shd w:val="clear" w:color="auto" w:fill="CCEEFF"/>
          </w:tcPr>
          <w:p>
            <w:pPr>
              <w:ind w:left="20"/>
              <w:spacing w:after="0" w:line="178" w:lineRule="exact"/>
              <w:rPr>
                <w:sz w:val="20"/>
                <w:szCs w:val="20"/>
                <w:color w:val="auto"/>
              </w:rPr>
            </w:pPr>
            <w:r>
              <w:rPr>
                <w:rFonts w:ascii="Times New Roman" w:cs="Times New Roman" w:eastAsia="Times New Roman" w:hAnsi="Times New Roman"/>
                <w:sz w:val="16"/>
                <w:szCs w:val="16"/>
                <w:color w:val="auto"/>
              </w:rPr>
              <w:t>(Gain) loss on sales of real estate, preferred equity and investments in unconsolidated joint</w:t>
            </w:r>
          </w:p>
        </w:tc>
        <w:tc>
          <w:tcPr>
            <w:tcW w:w="160" w:type="dxa"/>
            <w:vAlign w:val="bottom"/>
            <w:shd w:val="clear" w:color="auto" w:fill="CCEEFF"/>
          </w:tcPr>
          <w:p>
            <w:pPr>
              <w:spacing w:after="0"/>
              <w:rPr>
                <w:sz w:val="15"/>
                <w:szCs w:val="15"/>
                <w:color w:val="auto"/>
              </w:rPr>
            </w:pPr>
          </w:p>
        </w:tc>
        <w:tc>
          <w:tcPr>
            <w:tcW w:w="16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(538)</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4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5"/>
                <w:szCs w:val="15"/>
                <w:color w:val="auto"/>
              </w:rPr>
            </w:pPr>
          </w:p>
        </w:tc>
        <w:tc>
          <w:tcPr>
            <w:tcW w:w="14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239</w:t>
            </w:r>
          </w:p>
        </w:tc>
        <w:tc>
          <w:tcPr>
            <w:tcW w:w="0" w:type="dxa"/>
            <w:vAlign w:val="bottom"/>
          </w:tcPr>
          <w:p>
            <w:pPr>
              <w:spacing w:after="0"/>
              <w:rPr>
                <w:sz w:val="1"/>
                <w:szCs w:val="1"/>
                <w:color w:val="auto"/>
              </w:rPr>
            </w:pPr>
          </w:p>
        </w:tc>
      </w:tr>
      <w:tr>
        <w:trPr>
          <w:trHeight w:val="216"/>
        </w:trPr>
        <w:tc>
          <w:tcPr>
            <w:tcW w:w="6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ventures</w:t>
            </w:r>
          </w:p>
        </w:tc>
        <w:tc>
          <w:tcPr>
            <w:tcW w:w="160" w:type="dxa"/>
            <w:vAlign w:val="bottom"/>
            <w:shd w:val="clear" w:color="auto" w:fill="CCEEFF"/>
          </w:tcPr>
          <w:p>
            <w:pPr>
              <w:spacing w:after="0"/>
              <w:rPr>
                <w:sz w:val="18"/>
                <w:szCs w:val="18"/>
                <w:color w:val="auto"/>
              </w:rPr>
            </w:pPr>
          </w:p>
        </w:tc>
        <w:tc>
          <w:tcPr>
            <w:tcW w:w="164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60" w:type="dxa"/>
            <w:vAlign w:val="bottom"/>
            <w:gridSpan w:val="2"/>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2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60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Adjustments related to noncontrolling interests</w:t>
            </w:r>
          </w:p>
        </w:tc>
        <w:tc>
          <w:tcPr>
            <w:tcW w:w="16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(266)</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(358)</w:t>
            </w:r>
          </w:p>
        </w:tc>
        <w:tc>
          <w:tcPr>
            <w:tcW w:w="8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(172)</w:t>
            </w:r>
          </w:p>
        </w:tc>
        <w:tc>
          <w:tcPr>
            <w:tcW w:w="0" w:type="dxa"/>
            <w:vAlign w:val="bottom"/>
          </w:tcPr>
          <w:p>
            <w:pPr>
              <w:spacing w:after="0"/>
              <w:rPr>
                <w:sz w:val="1"/>
                <w:szCs w:val="1"/>
                <w:color w:val="auto"/>
              </w:rPr>
            </w:pPr>
          </w:p>
        </w:tc>
      </w:tr>
      <w:tr>
        <w:trPr>
          <w:trHeight w:val="223"/>
        </w:trPr>
        <w:tc>
          <w:tcPr>
            <w:tcW w:w="6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Distributable Earnings attributable to BrightSpire Capital, Inc. common stockholders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3,321</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3,394</w:t>
            </w:r>
          </w:p>
        </w:tc>
        <w:tc>
          <w:tcPr>
            <w:tcW w:w="8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11,354</w:t>
            </w:r>
          </w:p>
        </w:tc>
        <w:tc>
          <w:tcPr>
            <w:tcW w:w="0" w:type="dxa"/>
            <w:vAlign w:val="bottom"/>
          </w:tcPr>
          <w:p>
            <w:pPr>
              <w:spacing w:after="0"/>
              <w:rPr>
                <w:sz w:val="1"/>
                <w:szCs w:val="1"/>
                <w:color w:val="auto"/>
              </w:rPr>
            </w:pPr>
          </w:p>
        </w:tc>
      </w:tr>
      <w:tr>
        <w:trPr>
          <w:trHeight w:val="226"/>
        </w:trPr>
        <w:tc>
          <w:tcPr>
            <w:tcW w:w="6060" w:type="dxa"/>
            <w:vAlign w:val="bottom"/>
          </w:tcPr>
          <w:p>
            <w:pPr>
              <w:ind w:left="20"/>
              <w:spacing w:after="0" w:line="226" w:lineRule="exact"/>
              <w:rPr>
                <w:sz w:val="20"/>
                <w:szCs w:val="20"/>
                <w:color w:val="auto"/>
              </w:rPr>
            </w:pPr>
            <w:r>
              <w:rPr>
                <w:rFonts w:ascii="Times New Roman" w:cs="Times New Roman" w:eastAsia="Times New Roman" w:hAnsi="Times New Roman"/>
                <w:sz w:val="16"/>
                <w:szCs w:val="16"/>
                <w:color w:val="auto"/>
              </w:rPr>
              <w:t>Distributable Earnings per share</w:t>
            </w:r>
            <w:r>
              <w:rPr>
                <w:rFonts w:ascii="Times New Roman" w:cs="Times New Roman" w:eastAsia="Times New Roman" w:hAnsi="Times New Roman"/>
                <w:sz w:val="21"/>
                <w:szCs w:val="21"/>
                <w:color w:val="auto"/>
                <w:vertAlign w:val="superscript"/>
              </w:rPr>
              <w:t>(1)</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0.03</w:t>
            </w:r>
          </w:p>
        </w:tc>
        <w:tc>
          <w:tcPr>
            <w:tcW w:w="320" w:type="dxa"/>
            <w:vAlign w:val="bottom"/>
            <w:gridSpan w:val="2"/>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0.03</w:t>
            </w:r>
          </w:p>
        </w:tc>
        <w:tc>
          <w:tcPr>
            <w:tcW w:w="8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0.09</w:t>
            </w:r>
          </w:p>
        </w:tc>
        <w:tc>
          <w:tcPr>
            <w:tcW w:w="0" w:type="dxa"/>
            <w:vAlign w:val="bottom"/>
          </w:tcPr>
          <w:p>
            <w:pPr>
              <w:spacing w:after="0"/>
              <w:rPr>
                <w:sz w:val="1"/>
                <w:szCs w:val="1"/>
                <w:color w:val="auto"/>
              </w:rPr>
            </w:pPr>
          </w:p>
        </w:tc>
      </w:tr>
      <w:tr>
        <w:trPr>
          <w:trHeight w:val="20"/>
        </w:trPr>
        <w:tc>
          <w:tcPr>
            <w:tcW w:w="6060" w:type="dxa"/>
            <w:vAlign w:val="bottom"/>
            <w:tcBorders>
              <w:bottom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0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6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3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4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7"/>
        </w:trPr>
        <w:tc>
          <w:tcPr>
            <w:tcW w:w="60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Adjustments:</w:t>
            </w:r>
          </w:p>
        </w:tc>
        <w:tc>
          <w:tcPr>
            <w:tcW w:w="16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6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Specific CECL reserves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17,891</w:t>
            </w:r>
          </w:p>
        </w:tc>
        <w:tc>
          <w:tcPr>
            <w:tcW w:w="100" w:type="dxa"/>
            <w:vAlign w:val="bottom"/>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19,482</w:t>
            </w:r>
          </w:p>
        </w:tc>
        <w:tc>
          <w:tcPr>
            <w:tcW w:w="80" w:type="dxa"/>
            <w:vAlign w:val="bottom"/>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8,782</w:t>
            </w:r>
          </w:p>
        </w:tc>
        <w:tc>
          <w:tcPr>
            <w:tcW w:w="0" w:type="dxa"/>
            <w:vAlign w:val="bottom"/>
          </w:tcPr>
          <w:p>
            <w:pPr>
              <w:spacing w:after="0"/>
              <w:rPr>
                <w:sz w:val="1"/>
                <w:szCs w:val="1"/>
                <w:color w:val="auto"/>
              </w:rPr>
            </w:pPr>
          </w:p>
        </w:tc>
      </w:tr>
      <w:tr>
        <w:trPr>
          <w:trHeight w:val="156"/>
        </w:trPr>
        <w:tc>
          <w:tcPr>
            <w:tcW w:w="6060" w:type="dxa"/>
            <w:vAlign w:val="bottom"/>
          </w:tcPr>
          <w:p>
            <w:pPr>
              <w:ind w:left="20"/>
              <w:spacing w:after="0" w:line="155" w:lineRule="exact"/>
              <w:rPr>
                <w:sz w:val="20"/>
                <w:szCs w:val="20"/>
                <w:color w:val="auto"/>
              </w:rPr>
            </w:pPr>
            <w:r>
              <w:rPr>
                <w:rFonts w:ascii="Times New Roman" w:cs="Times New Roman" w:eastAsia="Times New Roman" w:hAnsi="Times New Roman"/>
                <w:sz w:val="16"/>
                <w:szCs w:val="16"/>
                <w:color w:val="auto"/>
              </w:rPr>
              <w:t>Adjusted Distributable Earnings attributable to BrightSpire Capital, Inc. common</w:t>
            </w:r>
          </w:p>
        </w:tc>
        <w:tc>
          <w:tcPr>
            <w:tcW w:w="1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21,212</w:t>
            </w:r>
          </w:p>
        </w:tc>
        <w:tc>
          <w:tcPr>
            <w:tcW w:w="100" w:type="dxa"/>
            <w:vAlign w:val="bottom"/>
            <w:vMerge w:val="restart"/>
          </w:tcPr>
          <w:p>
            <w:pPr>
              <w:spacing w:after="0"/>
              <w:rPr>
                <w:sz w:val="13"/>
                <w:szCs w:val="13"/>
                <w:color w:val="auto"/>
              </w:rPr>
            </w:pPr>
          </w:p>
        </w:tc>
        <w:tc>
          <w:tcPr>
            <w:tcW w:w="220" w:type="dxa"/>
            <w:vAlign w:val="bottom"/>
            <w:vMerge w:val="restart"/>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22,876</w:t>
            </w:r>
          </w:p>
        </w:tc>
        <w:tc>
          <w:tcPr>
            <w:tcW w:w="80" w:type="dxa"/>
            <w:vAlign w:val="bottom"/>
          </w:tcPr>
          <w:p>
            <w:pPr>
              <w:spacing w:after="0"/>
              <w:rPr>
                <w:sz w:val="13"/>
                <w:szCs w:val="13"/>
                <w:color w:val="auto"/>
              </w:rPr>
            </w:pPr>
          </w:p>
        </w:tc>
        <w:tc>
          <w:tcPr>
            <w:tcW w:w="1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20,136</w:t>
            </w:r>
          </w:p>
        </w:tc>
        <w:tc>
          <w:tcPr>
            <w:tcW w:w="0" w:type="dxa"/>
            <w:vAlign w:val="bottom"/>
          </w:tcPr>
          <w:p>
            <w:pPr>
              <w:spacing w:after="0"/>
              <w:rPr>
                <w:sz w:val="1"/>
                <w:szCs w:val="1"/>
                <w:color w:val="auto"/>
              </w:rPr>
            </w:pPr>
          </w:p>
        </w:tc>
      </w:tr>
      <w:tr>
        <w:trPr>
          <w:trHeight w:val="213"/>
        </w:trPr>
        <w:tc>
          <w:tcPr>
            <w:tcW w:w="60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stockholders</w:t>
            </w:r>
          </w:p>
        </w:tc>
        <w:tc>
          <w:tcPr>
            <w:tcW w:w="160" w:type="dxa"/>
            <w:vAlign w:val="bottom"/>
            <w:tcBorders>
              <w:bottom w:val="single" w:sz="8" w:color="auto"/>
            </w:tcBorders>
            <w:vMerge w:val="continue"/>
          </w:tcPr>
          <w:p>
            <w:pPr>
              <w:spacing w:after="0"/>
              <w:rPr>
                <w:sz w:val="18"/>
                <w:szCs w:val="18"/>
                <w:color w:val="auto"/>
              </w:rPr>
            </w:pPr>
          </w:p>
        </w:tc>
        <w:tc>
          <w:tcPr>
            <w:tcW w:w="164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vMerge w:val="continue"/>
          </w:tcPr>
          <w:p>
            <w:pPr>
              <w:spacing w:after="0"/>
              <w:rPr>
                <w:sz w:val="18"/>
                <w:szCs w:val="18"/>
                <w:color w:val="auto"/>
              </w:rPr>
            </w:pPr>
          </w:p>
        </w:tc>
        <w:tc>
          <w:tcPr>
            <w:tcW w:w="220" w:type="dxa"/>
            <w:vAlign w:val="bottom"/>
            <w:tcBorders>
              <w:bottom w:val="single" w:sz="8" w:color="auto"/>
            </w:tcBorders>
            <w:vMerge w:val="continue"/>
          </w:tcPr>
          <w:p>
            <w:pPr>
              <w:spacing w:after="0"/>
              <w:rPr>
                <w:sz w:val="18"/>
                <w:szCs w:val="18"/>
                <w:color w:val="auto"/>
              </w:rPr>
            </w:pPr>
          </w:p>
        </w:tc>
        <w:tc>
          <w:tcPr>
            <w:tcW w:w="1380" w:type="dxa"/>
            <w:vAlign w:val="bottom"/>
            <w:tcBorders>
              <w:bottom w:val="single" w:sz="8" w:color="auto"/>
            </w:tcBorders>
            <w:vMerge w:val="continue"/>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vMerge w:val="continue"/>
          </w:tcPr>
          <w:p>
            <w:pPr>
              <w:spacing w:after="0"/>
              <w:rPr>
                <w:sz w:val="18"/>
                <w:szCs w:val="18"/>
                <w:color w:val="auto"/>
              </w:rPr>
            </w:pPr>
          </w:p>
        </w:tc>
        <w:tc>
          <w:tcPr>
            <w:tcW w:w="142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46"/>
        </w:trPr>
        <w:tc>
          <w:tcPr>
            <w:tcW w:w="6060" w:type="dxa"/>
            <w:vAlign w:val="bottom"/>
            <w:shd w:val="clear" w:color="auto" w:fill="CCEEFF"/>
          </w:tcPr>
          <w:p>
            <w:pPr>
              <w:ind w:left="20"/>
              <w:spacing w:after="0" w:line="226" w:lineRule="exact"/>
              <w:rPr>
                <w:sz w:val="20"/>
                <w:szCs w:val="20"/>
                <w:color w:val="auto"/>
              </w:rPr>
            </w:pPr>
            <w:r>
              <w:rPr>
                <w:rFonts w:ascii="Times New Roman" w:cs="Times New Roman" w:eastAsia="Times New Roman" w:hAnsi="Times New Roman"/>
                <w:sz w:val="16"/>
                <w:szCs w:val="16"/>
                <w:color w:val="auto"/>
              </w:rPr>
              <w:t>Adjusted Distributable Earnings per share</w:t>
            </w:r>
            <w:r>
              <w:rPr>
                <w:rFonts w:ascii="Times New Roman" w:cs="Times New Roman" w:eastAsia="Times New Roman" w:hAnsi="Times New Roman"/>
                <w:sz w:val="21"/>
                <w:szCs w:val="21"/>
                <w:color w:val="auto"/>
                <w:vertAlign w:val="superscript"/>
              </w:rPr>
              <w:t>(1)</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0.16</w:t>
            </w:r>
          </w:p>
        </w:tc>
        <w:tc>
          <w:tcPr>
            <w:tcW w:w="320" w:type="dxa"/>
            <w:vAlign w:val="bottom"/>
            <w:gridSpan w:val="2"/>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0.18</w:t>
            </w: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0.16</w:t>
            </w:r>
          </w:p>
        </w:tc>
        <w:tc>
          <w:tcPr>
            <w:tcW w:w="0" w:type="dxa"/>
            <w:vAlign w:val="bottom"/>
          </w:tcPr>
          <w:p>
            <w:pPr>
              <w:spacing w:after="0"/>
              <w:rPr>
                <w:sz w:val="1"/>
                <w:szCs w:val="1"/>
                <w:color w:val="auto"/>
              </w:rPr>
            </w:pPr>
          </w:p>
        </w:tc>
      </w:tr>
      <w:tr>
        <w:trPr>
          <w:trHeight w:val="20"/>
        </w:trPr>
        <w:tc>
          <w:tcPr>
            <w:tcW w:w="60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8"/>
        </w:trPr>
        <w:tc>
          <w:tcPr>
            <w:tcW w:w="60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Weighted average number of shares of Class A common stock</w:t>
            </w:r>
            <w:r>
              <w:rPr>
                <w:rFonts w:ascii="Times New Roman" w:cs="Times New Roman" w:eastAsia="Times New Roman" w:hAnsi="Times New Roman"/>
                <w:sz w:val="21"/>
                <w:szCs w:val="21"/>
                <w:color w:val="auto"/>
                <w:vertAlign w:val="superscript"/>
              </w:rPr>
              <w:t>(1)</w:t>
            </w:r>
          </w:p>
        </w:tc>
        <w:tc>
          <w:tcPr>
            <w:tcW w:w="160" w:type="dxa"/>
            <w:vAlign w:val="bottom"/>
          </w:tcPr>
          <w:p>
            <w:pPr>
              <w:spacing w:after="0"/>
              <w:rPr>
                <w:sz w:val="23"/>
                <w:szCs w:val="23"/>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129,845</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130,186</w:t>
            </w:r>
          </w:p>
        </w:tc>
        <w:tc>
          <w:tcPr>
            <w:tcW w:w="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129,860</w:t>
            </w:r>
          </w:p>
        </w:tc>
        <w:tc>
          <w:tcPr>
            <w:tcW w:w="0" w:type="dxa"/>
            <w:vAlign w:val="bottom"/>
          </w:tcPr>
          <w:p>
            <w:pPr>
              <w:spacing w:after="0"/>
              <w:rPr>
                <w:sz w:val="1"/>
                <w:szCs w:val="1"/>
                <w:color w:val="auto"/>
              </w:rPr>
            </w:pPr>
          </w:p>
        </w:tc>
      </w:tr>
    </w:tbl>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________________________________________</w:t>
      </w:r>
    </w:p>
    <w:p>
      <w:pPr>
        <w:spacing w:after="0" w:line="17" w:lineRule="exact"/>
        <w:rPr>
          <w:sz w:val="20"/>
          <w:szCs w:val="20"/>
          <w:color w:val="auto"/>
        </w:rPr>
      </w:pPr>
    </w:p>
    <w:p>
      <w:pPr>
        <w:ind w:left="340" w:hanging="332"/>
        <w:spacing w:after="0" w:line="278" w:lineRule="auto"/>
        <w:tabs>
          <w:tab w:leader="none" w:pos="332" w:val="left"/>
        </w:tabs>
        <w:numPr>
          <w:ilvl w:val="0"/>
          <w:numId w:val="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calculate Distributable Earnings per share, and Adjusted Distributable Earnings per share, non-GAAP financial measures, based on a weighted-average number of common shares. The weighted average number of common shares includes unvested restricted stock.</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Undepreciated Book Value Per Share</w:t>
      </w:r>
    </w:p>
    <w:p>
      <w:pPr>
        <w:spacing w:after="0" w:line="14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believe that presenting Undepreciated Book Value per share is a more useful and consistent measure of the value of our current portfolio and operations for our investors as it enhances the comparability to our peers who do not hold similar real estate investments. Undepreciated Book Value per share excludes our share of accumulated depreciation and amortization on real estate investments (including related intangible assets and liabilities) and as of the quarter ended June 30, 2024, includes non-GAAP impairment of real estate and any related foreign currency translation. Non-GAAP impairment of real estate is a non-GAAP measure that reflects our share of a property’s carrying value on certain net leased and other real estate office properties whose non-recourse mortgages have matured or who have been placed in a cash flow sweep by their lender. Our ability to refinance at their maturity dates is burdened by the current interest rate environment, lenders’ aversion to finance or refinance office properties and/or associated improvements or paydowns potentially demanded at such properties. Loan maturity defaults can and have led to foreclosures. Cash flow sweeps restrict our ability to utilize earnings generated by a property. As such, we believe it is prudent to recognize impairments and exclude our share of the carrying value related to these properties.</w:t>
      </w: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calculates our GAAP book value per share and Undepreciated Book Value per share ($ in thousands, except per share data):</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4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120" w:type="dxa"/>
            <w:vAlign w:val="bottom"/>
            <w:gridSpan w:val="2"/>
          </w:tcPr>
          <w:p>
            <w:pPr>
              <w:ind w:left="240"/>
              <w:spacing w:after="0"/>
              <w:rPr>
                <w:sz w:val="20"/>
                <w:szCs w:val="20"/>
                <w:color w:val="auto"/>
              </w:rPr>
            </w:pPr>
            <w:r>
              <w:rPr>
                <w:rFonts w:ascii="Times New Roman" w:cs="Times New Roman" w:eastAsia="Times New Roman" w:hAnsi="Times New Roman"/>
                <w:sz w:val="14"/>
                <w:szCs w:val="14"/>
                <w:b w:val="1"/>
                <w:bCs w:val="1"/>
                <w:color w:val="auto"/>
              </w:rPr>
              <w:t>September 30, 2026</w:t>
            </w:r>
          </w:p>
        </w:tc>
        <w:tc>
          <w:tcPr>
            <w:tcW w:w="340" w:type="dxa"/>
            <w:vAlign w:val="bottom"/>
          </w:tcPr>
          <w:p>
            <w:pPr>
              <w:spacing w:after="0"/>
              <w:rPr>
                <w:sz w:val="16"/>
                <w:szCs w:val="16"/>
                <w:color w:val="auto"/>
              </w:rPr>
            </w:pPr>
          </w:p>
        </w:tc>
        <w:tc>
          <w:tcPr>
            <w:tcW w:w="2020" w:type="dxa"/>
            <w:vAlign w:val="bottom"/>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December 31, 2025</w:t>
            </w:r>
          </w:p>
        </w:tc>
      </w:tr>
      <w:tr>
        <w:trPr>
          <w:trHeight w:val="23"/>
        </w:trPr>
        <w:tc>
          <w:tcPr>
            <w:tcW w:w="64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2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2020" w:type="dxa"/>
            <w:vAlign w:val="bottom"/>
            <w:tcBorders>
              <w:bottom w:val="single" w:sz="8" w:color="auto"/>
            </w:tcBorders>
          </w:tcPr>
          <w:p>
            <w:pPr>
              <w:spacing w:after="0"/>
              <w:rPr>
                <w:sz w:val="2"/>
                <w:szCs w:val="2"/>
                <w:color w:val="auto"/>
              </w:rPr>
            </w:pPr>
          </w:p>
        </w:tc>
      </w:tr>
      <w:tr>
        <w:trPr>
          <w:trHeight w:val="223"/>
        </w:trPr>
        <w:tc>
          <w:tcPr>
            <w:tcW w:w="6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Stockholders’ equity excluding noncontrolling interests in investment entities</w:t>
            </w:r>
          </w:p>
        </w:tc>
        <w:tc>
          <w:tcPr>
            <w:tcW w:w="3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2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883,092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2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938,432</w:t>
            </w:r>
          </w:p>
        </w:tc>
      </w:tr>
      <w:tr>
        <w:trPr>
          <w:trHeight w:val="226"/>
        </w:trPr>
        <w:tc>
          <w:tcPr>
            <w:tcW w:w="64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Accumulated depreciation and amortization</w:t>
            </w:r>
          </w:p>
        </w:tc>
        <w:tc>
          <w:tcPr>
            <w:tcW w:w="340" w:type="dxa"/>
            <w:vAlign w:val="bottom"/>
          </w:tcPr>
          <w:p>
            <w:pPr>
              <w:spacing w:after="0"/>
              <w:rPr>
                <w:sz w:val="19"/>
                <w:szCs w:val="19"/>
                <w:color w:val="auto"/>
              </w:rPr>
            </w:pPr>
          </w:p>
        </w:tc>
        <w:tc>
          <w:tcPr>
            <w:tcW w:w="2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121,826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180,937</w:t>
            </w:r>
          </w:p>
        </w:tc>
      </w:tr>
      <w:tr>
        <w:trPr>
          <w:trHeight w:val="229"/>
        </w:trPr>
        <w:tc>
          <w:tcPr>
            <w:tcW w:w="64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Non-GAAP impairment of real estate</w:t>
            </w:r>
          </w:p>
        </w:tc>
        <w:tc>
          <w:tcPr>
            <w:tcW w:w="340" w:type="dxa"/>
            <w:vAlign w:val="bottom"/>
            <w:tcBorders>
              <w:bottom w:val="single" w:sz="8" w:color="auto"/>
            </w:tcBorders>
            <w:shd w:val="clear" w:color="auto" w:fill="CCEEFF"/>
          </w:tcPr>
          <w:p>
            <w:pPr>
              <w:spacing w:after="0"/>
              <w:rPr>
                <w:sz w:val="19"/>
                <w:szCs w:val="19"/>
                <w:color w:val="auto"/>
              </w:rPr>
            </w:pPr>
          </w:p>
        </w:tc>
        <w:tc>
          <w:tcPr>
            <w:tcW w:w="2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(23,482)</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2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(33,617)</w:t>
            </w:r>
          </w:p>
        </w:tc>
      </w:tr>
      <w:tr>
        <w:trPr>
          <w:trHeight w:val="226"/>
        </w:trPr>
        <w:tc>
          <w:tcPr>
            <w:tcW w:w="64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Undepreciated Book Value</w:t>
            </w:r>
          </w:p>
        </w:tc>
        <w:tc>
          <w:tcPr>
            <w:tcW w:w="34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2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981,436</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2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1,085,752</w:t>
            </w:r>
          </w:p>
        </w:tc>
      </w:tr>
      <w:tr>
        <w:trPr>
          <w:trHeight w:val="20"/>
        </w:trPr>
        <w:tc>
          <w:tcPr>
            <w:tcW w:w="64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020" w:type="dxa"/>
            <w:vAlign w:val="bottom"/>
            <w:tcBorders>
              <w:bottom w:val="single" w:sz="8" w:color="auto"/>
            </w:tcBorders>
          </w:tcPr>
          <w:p>
            <w:pPr>
              <w:spacing w:after="0" w:line="20" w:lineRule="exact"/>
              <w:rPr>
                <w:sz w:val="1"/>
                <w:szCs w:val="1"/>
                <w:color w:val="auto"/>
              </w:rPr>
            </w:pPr>
          </w:p>
        </w:tc>
      </w:tr>
      <w:tr>
        <w:trPr>
          <w:trHeight w:val="183"/>
        </w:trPr>
        <w:tc>
          <w:tcPr>
            <w:tcW w:w="64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20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2020" w:type="dxa"/>
            <w:vAlign w:val="bottom"/>
            <w:shd w:val="clear" w:color="auto" w:fill="CCEEFF"/>
          </w:tcPr>
          <w:p>
            <w:pPr>
              <w:spacing w:after="0"/>
              <w:rPr>
                <w:sz w:val="15"/>
                <w:szCs w:val="15"/>
                <w:color w:val="auto"/>
              </w:rPr>
            </w:pPr>
          </w:p>
        </w:tc>
      </w:tr>
      <w:tr>
        <w:trPr>
          <w:trHeight w:val="227"/>
        </w:trPr>
        <w:tc>
          <w:tcPr>
            <w:tcW w:w="64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GAAP book value per share</w:t>
            </w:r>
          </w:p>
        </w:tc>
        <w:tc>
          <w:tcPr>
            <w:tcW w:w="3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2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7.08</w:t>
            </w:r>
          </w:p>
        </w:tc>
        <w:tc>
          <w:tcPr>
            <w:tcW w:w="100" w:type="dxa"/>
            <w:vAlign w:val="bottom"/>
          </w:tcPr>
          <w:p>
            <w:pPr>
              <w:spacing w:after="0"/>
              <w:rPr>
                <w:sz w:val="19"/>
                <w:szCs w:val="19"/>
                <w:color w:val="auto"/>
              </w:rPr>
            </w:pPr>
          </w:p>
        </w:tc>
        <w:tc>
          <w:tcPr>
            <w:tcW w:w="3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2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7.30</w:t>
            </w:r>
          </w:p>
        </w:tc>
      </w:tr>
      <w:tr>
        <w:trPr>
          <w:trHeight w:val="233"/>
        </w:trPr>
        <w:tc>
          <w:tcPr>
            <w:tcW w:w="64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Accumulated depreciation and amortization per share</w:t>
            </w:r>
          </w:p>
        </w:tc>
        <w:tc>
          <w:tcPr>
            <w:tcW w:w="340" w:type="dxa"/>
            <w:vAlign w:val="bottom"/>
            <w:shd w:val="clear" w:color="auto" w:fill="CCEEFF"/>
          </w:tcPr>
          <w:p>
            <w:pPr>
              <w:spacing w:after="0"/>
              <w:rPr>
                <w:sz w:val="20"/>
                <w:szCs w:val="20"/>
                <w:color w:val="auto"/>
              </w:rPr>
            </w:pPr>
          </w:p>
        </w:tc>
        <w:tc>
          <w:tcPr>
            <w:tcW w:w="2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0.98</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2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1.41</w:t>
            </w:r>
          </w:p>
        </w:tc>
      </w:tr>
      <w:tr>
        <w:trPr>
          <w:trHeight w:val="227"/>
        </w:trPr>
        <w:tc>
          <w:tcPr>
            <w:tcW w:w="642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Non-GAAP impairment of real estate</w:t>
            </w:r>
          </w:p>
        </w:tc>
        <w:tc>
          <w:tcPr>
            <w:tcW w:w="340" w:type="dxa"/>
            <w:vAlign w:val="bottom"/>
            <w:tcBorders>
              <w:bottom w:val="single" w:sz="8" w:color="auto"/>
            </w:tcBorders>
          </w:tcPr>
          <w:p>
            <w:pPr>
              <w:spacing w:after="0"/>
              <w:rPr>
                <w:sz w:val="19"/>
                <w:szCs w:val="19"/>
                <w:color w:val="auto"/>
              </w:rPr>
            </w:pPr>
          </w:p>
        </w:tc>
        <w:tc>
          <w:tcPr>
            <w:tcW w:w="2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(0.19)</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2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(0.26)</w:t>
            </w:r>
          </w:p>
        </w:tc>
      </w:tr>
      <w:tr>
        <w:trPr>
          <w:trHeight w:val="251"/>
        </w:trPr>
        <w:tc>
          <w:tcPr>
            <w:tcW w:w="6420" w:type="dxa"/>
            <w:vAlign w:val="bottom"/>
            <w:tcBorders>
              <w:bottom w:val="single" w:sz="8" w:color="CCEEFF"/>
            </w:tcBorders>
            <w:shd w:val="clear" w:color="auto" w:fill="CCEEFF"/>
          </w:tcPr>
          <w:p>
            <w:pPr>
              <w:ind w:left="20"/>
              <w:spacing w:after="0" w:line="226" w:lineRule="exact"/>
              <w:rPr>
                <w:sz w:val="20"/>
                <w:szCs w:val="20"/>
                <w:color w:val="auto"/>
              </w:rPr>
            </w:pPr>
            <w:r>
              <w:rPr>
                <w:rFonts w:ascii="Times New Roman" w:cs="Times New Roman" w:eastAsia="Times New Roman" w:hAnsi="Times New Roman"/>
                <w:sz w:val="16"/>
                <w:szCs w:val="16"/>
                <w:color w:val="auto"/>
              </w:rPr>
              <w:t>Undepreciated Book Value per share</w:t>
            </w:r>
            <w:r>
              <w:rPr>
                <w:rFonts w:ascii="Times New Roman" w:cs="Times New Roman" w:eastAsia="Times New Roman" w:hAnsi="Times New Roman"/>
                <w:sz w:val="21"/>
                <w:szCs w:val="21"/>
                <w:color w:val="auto"/>
                <w:vertAlign w:val="superscript"/>
              </w:rPr>
              <w:t>(1)</w:t>
            </w: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2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2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8.44</w:t>
            </w:r>
          </w:p>
        </w:tc>
      </w:tr>
      <w:tr>
        <w:trPr>
          <w:trHeight w:val="20"/>
        </w:trPr>
        <w:tc>
          <w:tcPr>
            <w:tcW w:w="64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2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2020" w:type="dxa"/>
            <w:vAlign w:val="bottom"/>
            <w:tcBorders>
              <w:top w:val="single" w:sz="8" w:color="CCEEFF"/>
              <w:bottom w:val="single" w:sz="8" w:color="auto"/>
            </w:tcBorders>
          </w:tcPr>
          <w:p>
            <w:pPr>
              <w:spacing w:after="0" w:line="20" w:lineRule="exact"/>
              <w:rPr>
                <w:sz w:val="1"/>
                <w:szCs w:val="1"/>
                <w:color w:val="auto"/>
              </w:rPr>
            </w:pPr>
          </w:p>
        </w:tc>
      </w:tr>
      <w:tr>
        <w:trPr>
          <w:trHeight w:val="198"/>
        </w:trPr>
        <w:tc>
          <w:tcPr>
            <w:tcW w:w="64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 outstanding shares - Class A common stock</w:t>
            </w:r>
          </w:p>
        </w:tc>
        <w:tc>
          <w:tcPr>
            <w:tcW w:w="340" w:type="dxa"/>
            <w:vAlign w:val="bottom"/>
          </w:tcPr>
          <w:p>
            <w:pPr>
              <w:spacing w:after="0"/>
              <w:rPr>
                <w:sz w:val="17"/>
                <w:szCs w:val="17"/>
                <w:color w:val="auto"/>
              </w:rPr>
            </w:pPr>
          </w:p>
        </w:tc>
        <w:tc>
          <w:tcPr>
            <w:tcW w:w="2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124,677</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128,627</w:t>
            </w:r>
          </w:p>
        </w:tc>
      </w:tr>
    </w:tbl>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________________________________________</w:t>
      </w:r>
    </w:p>
    <w:p>
      <w:pPr>
        <w:spacing w:after="0" w:line="27" w:lineRule="exact"/>
        <w:rPr>
          <w:sz w:val="20"/>
          <w:szCs w:val="20"/>
          <w:color w:val="auto"/>
        </w:rPr>
      </w:pPr>
    </w:p>
    <w:p>
      <w:pPr>
        <w:ind w:left="320" w:hanging="312"/>
        <w:spacing w:after="0"/>
        <w:tabs>
          <w:tab w:leader="none" w:pos="320" w:val="left"/>
        </w:tabs>
        <w:numPr>
          <w:ilvl w:val="0"/>
          <w:numId w:val="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Per share data may differ due to rounding.</w:t>
      </w:r>
    </w:p>
    <w:p>
      <w:pPr>
        <w:spacing w:after="0" w:line="200" w:lineRule="exact"/>
        <w:rPr>
          <w:sz w:val="20"/>
          <w:szCs w:val="20"/>
          <w:color w:val="auto"/>
        </w:rPr>
      </w:pPr>
    </w:p>
    <w:p>
      <w:pPr>
        <w:spacing w:after="0" w:line="38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420" w:type="dxa"/>
            <w:vAlign w:val="bottom"/>
          </w:tcPr>
          <w:p>
            <w:pPr>
              <w:spacing w:after="0"/>
              <w:rPr>
                <w:sz w:val="16"/>
                <w:szCs w:val="16"/>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 2026</w:t>
            </w: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020" w:type="dxa"/>
            <w:vAlign w:val="bottom"/>
          </w:tcPr>
          <w:p>
            <w:pPr>
              <w:jc w:val="right"/>
              <w:ind w:right="521"/>
              <w:spacing w:after="0"/>
              <w:rPr>
                <w:sz w:val="20"/>
                <w:szCs w:val="20"/>
                <w:color w:val="auto"/>
              </w:rPr>
            </w:pPr>
            <w:r>
              <w:rPr>
                <w:rFonts w:ascii="Times New Roman" w:cs="Times New Roman" w:eastAsia="Times New Roman" w:hAnsi="Times New Roman"/>
                <w:sz w:val="14"/>
                <w:szCs w:val="14"/>
                <w:b w:val="1"/>
                <w:bCs w:val="1"/>
                <w:color w:val="auto"/>
              </w:rPr>
              <w:t>December 31, 2025</w:t>
            </w:r>
          </w:p>
        </w:tc>
      </w:tr>
      <w:tr>
        <w:trPr>
          <w:trHeight w:val="23"/>
        </w:trPr>
        <w:tc>
          <w:tcPr>
            <w:tcW w:w="6420" w:type="dxa"/>
            <w:vAlign w:val="bottom"/>
            <w:tcBorders>
              <w:bottom w:val="single" w:sz="8" w:color="CCEEFF"/>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2020" w:type="dxa"/>
            <w:vAlign w:val="bottom"/>
            <w:tcBorders>
              <w:bottom w:val="single" w:sz="8" w:color="auto"/>
            </w:tcBorders>
          </w:tcPr>
          <w:p>
            <w:pPr>
              <w:spacing w:after="0"/>
              <w:rPr>
                <w:sz w:val="2"/>
                <w:szCs w:val="2"/>
                <w:color w:val="auto"/>
              </w:rPr>
            </w:pPr>
          </w:p>
        </w:tc>
      </w:tr>
      <w:tr>
        <w:trPr>
          <w:trHeight w:val="223"/>
        </w:trPr>
        <w:tc>
          <w:tcPr>
            <w:tcW w:w="6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Impairment attributable to BrightSpire Capital, Inc.</w:t>
            </w:r>
          </w:p>
        </w:tc>
        <w:tc>
          <w:tcPr>
            <w:tcW w:w="1780" w:type="dxa"/>
            <w:vAlign w:val="bottom"/>
            <w:shd w:val="clear" w:color="auto" w:fill="CCEEFF"/>
          </w:tcPr>
          <w:p>
            <w:pPr>
              <w:jc w:val="right"/>
              <w:ind w:right="1602"/>
              <w:spacing w:after="0"/>
              <w:rPr>
                <w:sz w:val="20"/>
                <w:szCs w:val="20"/>
                <w:color w:val="auto"/>
              </w:rPr>
            </w:pPr>
            <w:r>
              <w:rPr>
                <w:rFonts w:ascii="Times New Roman" w:cs="Times New Roman" w:eastAsia="Times New Roman" w:hAnsi="Times New Roman"/>
                <w:sz w:val="16"/>
                <w:szCs w:val="16"/>
                <w:color w:val="auto"/>
                <w:w w:val="99"/>
              </w:rPr>
              <w:t>$</w:t>
            </w:r>
          </w:p>
        </w:tc>
        <w:tc>
          <w:tcPr>
            <w:tcW w:w="5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15,256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2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61,620</w:t>
            </w:r>
          </w:p>
        </w:tc>
      </w:tr>
      <w:tr>
        <w:trPr>
          <w:trHeight w:val="226"/>
        </w:trPr>
        <w:tc>
          <w:tcPr>
            <w:tcW w:w="64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Adjustments:</w:t>
            </w:r>
          </w:p>
        </w:tc>
        <w:tc>
          <w:tcPr>
            <w:tcW w:w="17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20" w:type="dxa"/>
            <w:vAlign w:val="bottom"/>
          </w:tcPr>
          <w:p>
            <w:pPr>
              <w:spacing w:after="0"/>
              <w:rPr>
                <w:sz w:val="19"/>
                <w:szCs w:val="19"/>
                <w:color w:val="auto"/>
              </w:rPr>
            </w:pPr>
          </w:p>
        </w:tc>
      </w:tr>
      <w:tr>
        <w:trPr>
          <w:trHeight w:val="233"/>
        </w:trPr>
        <w:tc>
          <w:tcPr>
            <w:tcW w:w="6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Current year non-GAAP impairment of operating real estate</w:t>
            </w:r>
          </w:p>
        </w:tc>
        <w:tc>
          <w:tcPr>
            <w:tcW w:w="1780" w:type="dxa"/>
            <w:vAlign w:val="bottom"/>
            <w:shd w:val="clear" w:color="auto" w:fill="CCEEFF"/>
          </w:tcPr>
          <w:p>
            <w:pPr>
              <w:spacing w:after="0"/>
              <w:rPr>
                <w:sz w:val="20"/>
                <w:szCs w:val="20"/>
                <w:color w:val="auto"/>
              </w:rPr>
            </w:pPr>
          </w:p>
        </w:tc>
        <w:tc>
          <w:tcPr>
            <w:tcW w:w="5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(10,135)</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2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(100,961)</w:t>
            </w:r>
          </w:p>
        </w:tc>
      </w:tr>
      <w:tr>
        <w:trPr>
          <w:trHeight w:val="227"/>
        </w:trPr>
        <w:tc>
          <w:tcPr>
            <w:tcW w:w="64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Non-GAAP impairment as of prior fiscal year-end</w:t>
            </w:r>
          </w:p>
        </w:tc>
        <w:tc>
          <w:tcPr>
            <w:tcW w:w="1780" w:type="dxa"/>
            <w:vAlign w:val="bottom"/>
          </w:tcPr>
          <w:p>
            <w:pPr>
              <w:spacing w:after="0"/>
              <w:rPr>
                <w:sz w:val="19"/>
                <w:szCs w:val="19"/>
                <w:color w:val="auto"/>
              </w:rPr>
            </w:pPr>
          </w:p>
        </w:tc>
        <w:tc>
          <w:tcPr>
            <w:tcW w:w="5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33,617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134,578</w:t>
            </w:r>
          </w:p>
        </w:tc>
      </w:tr>
      <w:tr>
        <w:trPr>
          <w:trHeight w:val="229"/>
        </w:trPr>
        <w:tc>
          <w:tcPr>
            <w:tcW w:w="6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Impairment attributable to BrightSpire Capital, Inc.</w:t>
            </w:r>
          </w:p>
        </w:tc>
        <w:tc>
          <w:tcPr>
            <w:tcW w:w="178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(15,256)</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2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(61,620)</w:t>
            </w:r>
          </w:p>
        </w:tc>
      </w:tr>
      <w:tr>
        <w:trPr>
          <w:trHeight w:val="226"/>
        </w:trPr>
        <w:tc>
          <w:tcPr>
            <w:tcW w:w="642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Non-GAAP impairment of real estate</w:t>
            </w:r>
          </w:p>
        </w:tc>
        <w:tc>
          <w:tcPr>
            <w:tcW w:w="1780" w:type="dxa"/>
            <w:vAlign w:val="bottom"/>
            <w:tcBorders>
              <w:bottom w:val="single" w:sz="8" w:color="auto"/>
            </w:tcBorders>
          </w:tcPr>
          <w:p>
            <w:pPr>
              <w:jc w:val="right"/>
              <w:ind w:right="1602"/>
              <w:spacing w:after="0"/>
              <w:rPr>
                <w:sz w:val="20"/>
                <w:szCs w:val="20"/>
                <w:color w:val="auto"/>
              </w:rPr>
            </w:pPr>
            <w:r>
              <w:rPr>
                <w:rFonts w:ascii="Times New Roman" w:cs="Times New Roman" w:eastAsia="Times New Roman" w:hAnsi="Times New Roman"/>
                <w:sz w:val="16"/>
                <w:szCs w:val="16"/>
                <w:color w:val="auto"/>
                <w:w w:val="99"/>
              </w:rPr>
              <w:t>$</w:t>
            </w:r>
          </w:p>
        </w:tc>
        <w:tc>
          <w:tcPr>
            <w:tcW w:w="5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23,482</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2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33,617</w:t>
            </w:r>
          </w:p>
        </w:tc>
      </w:tr>
      <w:tr>
        <w:trPr>
          <w:trHeight w:val="21"/>
        </w:trPr>
        <w:tc>
          <w:tcPr>
            <w:tcW w:w="6420" w:type="dxa"/>
            <w:vAlign w:val="bottom"/>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020" w:type="dxa"/>
            <w:vAlign w:val="bottom"/>
            <w:tcBorders>
              <w:bottom w:val="single" w:sz="8" w:color="auto"/>
            </w:tcBorders>
          </w:tcPr>
          <w:p>
            <w:pPr>
              <w:spacing w:after="0" w:line="20" w:lineRule="exact"/>
              <w:rPr>
                <w:sz w:val="1"/>
                <w:szCs w:val="1"/>
                <w:color w:val="auto"/>
              </w:rPr>
            </w:pPr>
          </w:p>
        </w:tc>
      </w:tr>
    </w:tbl>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NOI</w:t>
      </w:r>
    </w:p>
    <w:p>
      <w:pPr>
        <w:spacing w:after="0" w:line="14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believe NOI to be a useful measure of operating performance of our net leased and other real estate portfolios as they are more closely linked to the direct results of operations at the property level. NOI excludes historical cost depreciation and amortization, which are based on different useful life estimates depending on the age of the properties, as well as adjustments for the effects of real estate impairment and gains or losses on sales of depreciated properties, which eliminate differences arising from investment and disposition decisions. Additionally, by excluding corporate level expenses or benefits such as interest expense, any gain or loss on early extinguishment of debt and income taxes, which are incurred by the parent entity and are not directly linked to the operating performance of the Company’s properties, NOI provides a measure of operating performance independent of the Company’s capital structure and indebtedness. However, the exclusion of these items as well as others, such as capital expenditures and leasing costs, which are necessary to maintain the operating performance of the Company’s properties, and transaction costs and administrative costs, may limit the usefulness of NOI. NOI may fail to capture significant trends in these components of GAAP net income (loss) which further limits its usefulness.</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NOI should not be considered as an alternative to net income (loss), determined in accordance with GAAP, as an indicator of operating performance. In addition, our methodology for calculating NOI involves subjective judgment and discretion and may differ from the methodologies used by other companies, when calculating the same or similar supplemental financial measures and may not be comparable with other companies.</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following tables present a reconciliation of net income on our net leased and other real estate portfolios attributable to our common stockholders to NOI attributable to our common stockholders (dollars in thousands) for the three months ended September 30, 2026, June 30, 2026 and March 31, 2026 and the three months ended September 30, 2025, June 30, 2025 and March 31, 2025:</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8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spacing w:after="0"/>
              <w:rPr>
                <w:sz w:val="18"/>
                <w:szCs w:val="18"/>
                <w:color w:val="auto"/>
              </w:rPr>
            </w:pPr>
          </w:p>
        </w:tc>
        <w:tc>
          <w:tcPr>
            <w:tcW w:w="1740" w:type="dxa"/>
            <w:vAlign w:val="bottom"/>
            <w:tcBorders>
              <w:bottom w:val="single" w:sz="8" w:color="auto"/>
            </w:tcBorders>
            <w:gridSpan w:val="4"/>
          </w:tcPr>
          <w:p>
            <w:pPr>
              <w:ind w:left="2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16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spacing w:after="0"/>
              <w:rPr>
                <w:sz w:val="18"/>
                <w:szCs w:val="18"/>
                <w:color w:val="auto"/>
              </w:rPr>
            </w:pPr>
          </w:p>
        </w:tc>
      </w:tr>
      <w:tr>
        <w:trPr>
          <w:trHeight w:val="223"/>
        </w:trPr>
        <w:tc>
          <w:tcPr>
            <w:tcW w:w="58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rPr>
              <w:t>September 30, 2026</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June 30, 2026</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March 31, 2026</w:t>
            </w:r>
          </w:p>
        </w:tc>
      </w:tr>
      <w:tr>
        <w:trPr>
          <w:trHeight w:val="226"/>
        </w:trPr>
        <w:tc>
          <w:tcPr>
            <w:tcW w:w="5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 (loss) attributable to BrightSpire Capital, Inc. common stockholders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46,934</w:t>
            </w:r>
          </w:p>
        </w:tc>
        <w:tc>
          <w:tcPr>
            <w:tcW w:w="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(18,334)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4,845</w:t>
            </w:r>
          </w:p>
        </w:tc>
      </w:tr>
      <w:tr>
        <w:trPr>
          <w:trHeight w:val="227"/>
        </w:trPr>
        <w:tc>
          <w:tcPr>
            <w:tcW w:w="58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Adjustments:</w:t>
            </w:r>
          </w:p>
        </w:tc>
        <w:tc>
          <w:tcPr>
            <w:tcW w:w="16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80" w:type="dxa"/>
            <w:vAlign w:val="bottom"/>
          </w:tcPr>
          <w:p>
            <w:pPr>
              <w:spacing w:after="0"/>
              <w:rPr>
                <w:sz w:val="19"/>
                <w:szCs w:val="19"/>
                <w:color w:val="auto"/>
              </w:rPr>
            </w:pPr>
          </w:p>
        </w:tc>
      </w:tr>
      <w:tr>
        <w:trPr>
          <w:trHeight w:val="259"/>
        </w:trPr>
        <w:tc>
          <w:tcPr>
            <w:tcW w:w="588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6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3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380" w:type="dxa"/>
            <w:vAlign w:val="bottom"/>
            <w:shd w:val="clear" w:color="auto" w:fill="CCEEFF"/>
          </w:tcPr>
          <w:p>
            <w:pPr>
              <w:spacing w:after="0"/>
              <w:rPr>
                <w:sz w:val="22"/>
                <w:szCs w:val="22"/>
                <w:color w:val="auto"/>
              </w:rPr>
            </w:pPr>
          </w:p>
        </w:tc>
      </w:tr>
      <w:tr>
        <w:trPr>
          <w:trHeight w:val="230"/>
        </w:trPr>
        <w:tc>
          <w:tcPr>
            <w:tcW w:w="5880" w:type="dxa"/>
            <w:vAlign w:val="bottom"/>
          </w:tcPr>
          <w:p>
            <w:pPr>
              <w:ind w:left="20"/>
              <w:spacing w:after="0" w:line="230" w:lineRule="exact"/>
              <w:rPr>
                <w:sz w:val="20"/>
                <w:szCs w:val="20"/>
                <w:color w:val="auto"/>
              </w:rPr>
            </w:pPr>
            <w:r>
              <w:rPr>
                <w:rFonts w:ascii="Times New Roman" w:cs="Times New Roman" w:eastAsia="Times New Roman" w:hAnsi="Times New Roman"/>
                <w:sz w:val="16"/>
                <w:szCs w:val="16"/>
                <w:color w:val="auto"/>
              </w:rPr>
              <w:t>Net (income) loss attributable to non-net leased and other real estate portfolios</w:t>
            </w:r>
            <w:r>
              <w:rPr>
                <w:rFonts w:ascii="Times New Roman" w:cs="Times New Roman" w:eastAsia="Times New Roman" w:hAnsi="Times New Roman"/>
                <w:sz w:val="21"/>
                <w:szCs w:val="21"/>
                <w:color w:val="auto"/>
                <w:vertAlign w:val="superscript"/>
              </w:rPr>
              <w:t>(1)</w:t>
            </w:r>
          </w:p>
        </w:tc>
        <w:tc>
          <w:tcPr>
            <w:tcW w:w="16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9,895</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9,567</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(4,218)</w:t>
            </w:r>
          </w:p>
        </w:tc>
      </w:tr>
      <w:tr>
        <w:trPr>
          <w:trHeight w:val="229"/>
        </w:trPr>
        <w:tc>
          <w:tcPr>
            <w:tcW w:w="5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 (loss) attributable to noncontrolling interests in investment entities</w:t>
            </w:r>
          </w:p>
        </w:tc>
        <w:tc>
          <w:tcPr>
            <w:tcW w:w="16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(1,850)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(1,722)</w:t>
            </w:r>
          </w:p>
        </w:tc>
      </w:tr>
      <w:tr>
        <w:trPr>
          <w:trHeight w:val="227"/>
        </w:trPr>
        <w:tc>
          <w:tcPr>
            <w:tcW w:w="58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Amortization of above-and below-market lease intangibles</w:t>
            </w:r>
          </w:p>
        </w:tc>
        <w:tc>
          <w:tcPr>
            <w:tcW w:w="16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w:t>
            </w:r>
          </w:p>
        </w:tc>
      </w:tr>
      <w:tr>
        <w:trPr>
          <w:trHeight w:val="233"/>
        </w:trPr>
        <w:tc>
          <w:tcPr>
            <w:tcW w:w="5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interest expense</w:t>
            </w:r>
          </w:p>
        </w:tc>
        <w:tc>
          <w:tcPr>
            <w:tcW w:w="160" w:type="dxa"/>
            <w:vAlign w:val="bottom"/>
            <w:shd w:val="clear" w:color="auto" w:fill="CCEEFF"/>
          </w:tcPr>
          <w:p>
            <w:pPr>
              <w:spacing w:after="0"/>
              <w:rPr>
                <w:sz w:val="20"/>
                <w:szCs w:val="20"/>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w:t>
            </w:r>
          </w:p>
        </w:tc>
      </w:tr>
      <w:tr>
        <w:trPr>
          <w:trHeight w:val="227"/>
        </w:trPr>
        <w:tc>
          <w:tcPr>
            <w:tcW w:w="58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Interest expense on real estate</w:t>
            </w:r>
          </w:p>
        </w:tc>
        <w:tc>
          <w:tcPr>
            <w:tcW w:w="16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4,655</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5,121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5,091</w:t>
            </w:r>
          </w:p>
        </w:tc>
      </w:tr>
      <w:tr>
        <w:trPr>
          <w:trHeight w:val="233"/>
        </w:trPr>
        <w:tc>
          <w:tcPr>
            <w:tcW w:w="5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income</w:t>
            </w:r>
          </w:p>
        </w:tc>
        <w:tc>
          <w:tcPr>
            <w:tcW w:w="160" w:type="dxa"/>
            <w:vAlign w:val="bottom"/>
            <w:shd w:val="clear" w:color="auto" w:fill="CCEEFF"/>
          </w:tcPr>
          <w:p>
            <w:pPr>
              <w:spacing w:after="0"/>
              <w:rPr>
                <w:sz w:val="20"/>
                <w:szCs w:val="20"/>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(153)</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w:t>
            </w:r>
          </w:p>
        </w:tc>
      </w:tr>
      <w:tr>
        <w:trPr>
          <w:trHeight w:val="226"/>
        </w:trPr>
        <w:tc>
          <w:tcPr>
            <w:tcW w:w="58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Transaction, investment and servicing expense</w:t>
            </w:r>
          </w:p>
        </w:tc>
        <w:tc>
          <w:tcPr>
            <w:tcW w:w="16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79</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w:t>
            </w:r>
          </w:p>
        </w:tc>
      </w:tr>
      <w:tr>
        <w:trPr>
          <w:trHeight w:val="233"/>
        </w:trPr>
        <w:tc>
          <w:tcPr>
            <w:tcW w:w="5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160" w:type="dxa"/>
            <w:vAlign w:val="bottom"/>
            <w:shd w:val="clear" w:color="auto" w:fill="CCEEFF"/>
          </w:tcPr>
          <w:p>
            <w:pPr>
              <w:spacing w:after="0"/>
              <w:rPr>
                <w:sz w:val="20"/>
                <w:szCs w:val="20"/>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4,052</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8,154</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8,594</w:t>
            </w:r>
          </w:p>
        </w:tc>
      </w:tr>
      <w:tr>
        <w:trPr>
          <w:trHeight w:val="227"/>
        </w:trPr>
        <w:tc>
          <w:tcPr>
            <w:tcW w:w="58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Impairment of operating real estate</w:t>
            </w:r>
          </w:p>
        </w:tc>
        <w:tc>
          <w:tcPr>
            <w:tcW w:w="16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5,986</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9,270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32"/>
        </w:trPr>
        <w:tc>
          <w:tcPr>
            <w:tcW w:w="5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Operating expense</w:t>
            </w:r>
          </w:p>
        </w:tc>
        <w:tc>
          <w:tcPr>
            <w:tcW w:w="160" w:type="dxa"/>
            <w:vAlign w:val="bottom"/>
            <w:shd w:val="clear" w:color="auto" w:fill="CCEEFF"/>
          </w:tcPr>
          <w:p>
            <w:pPr>
              <w:spacing w:after="0"/>
              <w:rPr>
                <w:sz w:val="20"/>
                <w:szCs w:val="20"/>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w:t>
            </w:r>
          </w:p>
        </w:tc>
      </w:tr>
      <w:tr>
        <w:trPr>
          <w:trHeight w:val="227"/>
        </w:trPr>
        <w:tc>
          <w:tcPr>
            <w:tcW w:w="58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 (gain) loss on investments, net</w:t>
            </w:r>
          </w:p>
        </w:tc>
        <w:tc>
          <w:tcPr>
            <w:tcW w:w="16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(60,322)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w:t>
            </w:r>
          </w:p>
        </w:tc>
      </w:tr>
      <w:tr>
        <w:trPr>
          <w:trHeight w:val="229"/>
        </w:trPr>
        <w:tc>
          <w:tcPr>
            <w:tcW w:w="5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NOI attributable to noncontrolling interest in investment entities</w:t>
            </w:r>
          </w:p>
        </w:tc>
        <w:tc>
          <w:tcPr>
            <w:tcW w:w="16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(178)</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(123)</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(122)</w:t>
            </w:r>
          </w:p>
        </w:tc>
      </w:tr>
      <w:tr>
        <w:trPr>
          <w:trHeight w:val="226"/>
        </w:trPr>
        <w:tc>
          <w:tcPr>
            <w:tcW w:w="58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 NOI attributable to BrightSpire Capital, Inc. common stockholders</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11,504</w:t>
            </w:r>
          </w:p>
        </w:tc>
        <w:tc>
          <w:tcPr>
            <w:tcW w:w="3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11,801</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12,443</w:t>
            </w:r>
          </w:p>
        </w:tc>
      </w:tr>
      <w:tr>
        <w:trPr>
          <w:trHeight w:val="21"/>
        </w:trPr>
        <w:tc>
          <w:tcPr>
            <w:tcW w:w="58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r>
    </w:tbl>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________________________________________</w:t>
      </w:r>
    </w:p>
    <w:p>
      <w:pPr>
        <w:spacing w:after="0" w:line="27" w:lineRule="exact"/>
        <w:rPr>
          <w:sz w:val="20"/>
          <w:szCs w:val="20"/>
          <w:color w:val="auto"/>
        </w:rPr>
      </w:pPr>
    </w:p>
    <w:p>
      <w:pPr>
        <w:ind w:left="340" w:hanging="332"/>
        <w:spacing w:after="0" w:line="283" w:lineRule="auto"/>
        <w:tabs>
          <w:tab w:leader="none" w:pos="332" w:val="left"/>
        </w:tabs>
        <w:numPr>
          <w:ilvl w:val="0"/>
          <w:numId w:val="4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Net income attributable to non-net leased and other real estate portfolios includes net (income) loss on our senior and mezzanine loans and preferred equity and corporate and other business segments.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8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spacing w:after="0"/>
              <w:rPr>
                <w:sz w:val="18"/>
                <w:szCs w:val="18"/>
                <w:color w:val="auto"/>
              </w:rPr>
            </w:pPr>
          </w:p>
        </w:tc>
        <w:tc>
          <w:tcPr>
            <w:tcW w:w="1740" w:type="dxa"/>
            <w:vAlign w:val="bottom"/>
            <w:tcBorders>
              <w:bottom w:val="single" w:sz="8" w:color="auto"/>
            </w:tcBorders>
            <w:gridSpan w:val="4"/>
          </w:tcPr>
          <w:p>
            <w:pPr>
              <w:ind w:left="2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16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spacing w:after="0"/>
              <w:rPr>
                <w:sz w:val="18"/>
                <w:szCs w:val="18"/>
                <w:color w:val="auto"/>
              </w:rPr>
            </w:pPr>
          </w:p>
        </w:tc>
      </w:tr>
      <w:tr>
        <w:trPr>
          <w:trHeight w:val="223"/>
        </w:trPr>
        <w:tc>
          <w:tcPr>
            <w:tcW w:w="58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rPr>
              <w:t>September 30, 2025</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June 30, 2025</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March 31, 2025</w:t>
            </w:r>
          </w:p>
        </w:tc>
      </w:tr>
      <w:tr>
        <w:trPr>
          <w:trHeight w:val="226"/>
        </w:trPr>
        <w:tc>
          <w:tcPr>
            <w:tcW w:w="5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 (loss) attributable to BrightSpire Capital, Inc. common stockholders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984</w:t>
            </w:r>
          </w:p>
        </w:tc>
        <w:tc>
          <w:tcPr>
            <w:tcW w:w="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(23,118)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5,342</w:t>
            </w:r>
          </w:p>
        </w:tc>
      </w:tr>
      <w:tr>
        <w:trPr>
          <w:trHeight w:val="226"/>
        </w:trPr>
        <w:tc>
          <w:tcPr>
            <w:tcW w:w="58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Adjustments:</w:t>
            </w:r>
          </w:p>
        </w:tc>
        <w:tc>
          <w:tcPr>
            <w:tcW w:w="16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80" w:type="dxa"/>
            <w:vAlign w:val="bottom"/>
          </w:tcPr>
          <w:p>
            <w:pPr>
              <w:spacing w:after="0"/>
              <w:rPr>
                <w:sz w:val="19"/>
                <w:szCs w:val="19"/>
                <w:color w:val="auto"/>
              </w:rPr>
            </w:pPr>
          </w:p>
        </w:tc>
      </w:tr>
      <w:tr>
        <w:trPr>
          <w:trHeight w:val="260"/>
        </w:trPr>
        <w:tc>
          <w:tcPr>
            <w:tcW w:w="588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6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3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380" w:type="dxa"/>
            <w:vAlign w:val="bottom"/>
            <w:shd w:val="clear" w:color="auto" w:fill="CCEEFF"/>
          </w:tcPr>
          <w:p>
            <w:pPr>
              <w:spacing w:after="0"/>
              <w:rPr>
                <w:sz w:val="22"/>
                <w:szCs w:val="22"/>
                <w:color w:val="auto"/>
              </w:rPr>
            </w:pPr>
          </w:p>
        </w:tc>
      </w:tr>
      <w:tr>
        <w:trPr>
          <w:trHeight w:val="229"/>
        </w:trPr>
        <w:tc>
          <w:tcPr>
            <w:tcW w:w="5880" w:type="dxa"/>
            <w:vAlign w:val="bottom"/>
          </w:tcPr>
          <w:p>
            <w:pPr>
              <w:ind w:left="20"/>
              <w:spacing w:after="0" w:line="230" w:lineRule="exact"/>
              <w:rPr>
                <w:sz w:val="20"/>
                <w:szCs w:val="20"/>
                <w:color w:val="auto"/>
              </w:rPr>
            </w:pPr>
            <w:r>
              <w:rPr>
                <w:rFonts w:ascii="Times New Roman" w:cs="Times New Roman" w:eastAsia="Times New Roman" w:hAnsi="Times New Roman"/>
                <w:sz w:val="16"/>
                <w:szCs w:val="16"/>
                <w:color w:val="auto"/>
              </w:rPr>
              <w:t>Net (income) loss attributable to non-net leased and other real estate portfolios</w:t>
            </w:r>
            <w:r>
              <w:rPr>
                <w:rFonts w:ascii="Times New Roman" w:cs="Times New Roman" w:eastAsia="Times New Roman" w:hAnsi="Times New Roman"/>
                <w:sz w:val="21"/>
                <w:szCs w:val="21"/>
                <w:color w:val="auto"/>
                <w:vertAlign w:val="superscript"/>
              </w:rPr>
              <w:t>(1)</w:t>
            </w:r>
          </w:p>
        </w:tc>
        <w:tc>
          <w:tcPr>
            <w:tcW w:w="16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(5,917)</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(6,287)</w:t>
            </w:r>
          </w:p>
        </w:tc>
      </w:tr>
      <w:tr>
        <w:trPr>
          <w:trHeight w:val="230"/>
        </w:trPr>
        <w:tc>
          <w:tcPr>
            <w:tcW w:w="5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loss attributable to noncontrolling interests in investment entities</w:t>
            </w:r>
          </w:p>
        </w:tc>
        <w:tc>
          <w:tcPr>
            <w:tcW w:w="16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(2,288)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(2,054)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(1,634)</w:t>
            </w:r>
          </w:p>
        </w:tc>
      </w:tr>
      <w:tr>
        <w:trPr>
          <w:trHeight w:val="226"/>
        </w:trPr>
        <w:tc>
          <w:tcPr>
            <w:tcW w:w="58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Amortization of above- and below-market lease intangibles</w:t>
            </w:r>
          </w:p>
        </w:tc>
        <w:tc>
          <w:tcPr>
            <w:tcW w:w="16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w:t>
            </w:r>
          </w:p>
        </w:tc>
      </w:tr>
      <w:tr>
        <w:trPr>
          <w:trHeight w:val="233"/>
        </w:trPr>
        <w:tc>
          <w:tcPr>
            <w:tcW w:w="5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interest expense</w:t>
            </w:r>
          </w:p>
        </w:tc>
        <w:tc>
          <w:tcPr>
            <w:tcW w:w="160" w:type="dxa"/>
            <w:vAlign w:val="bottom"/>
            <w:shd w:val="clear" w:color="auto" w:fill="CCEEFF"/>
          </w:tcPr>
          <w:p>
            <w:pPr>
              <w:spacing w:after="0"/>
              <w:rPr>
                <w:sz w:val="20"/>
                <w:szCs w:val="20"/>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w:t>
            </w:r>
          </w:p>
        </w:tc>
      </w:tr>
      <w:tr>
        <w:trPr>
          <w:trHeight w:val="227"/>
        </w:trPr>
        <w:tc>
          <w:tcPr>
            <w:tcW w:w="58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Interest expense on real estate</w:t>
            </w:r>
          </w:p>
        </w:tc>
        <w:tc>
          <w:tcPr>
            <w:tcW w:w="16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5,170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6,765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7,940</w:t>
            </w:r>
          </w:p>
        </w:tc>
      </w:tr>
      <w:tr>
        <w:trPr>
          <w:trHeight w:val="232"/>
        </w:trPr>
        <w:tc>
          <w:tcPr>
            <w:tcW w:w="5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income</w:t>
            </w:r>
          </w:p>
        </w:tc>
        <w:tc>
          <w:tcPr>
            <w:tcW w:w="160" w:type="dxa"/>
            <w:vAlign w:val="bottom"/>
            <w:shd w:val="clear" w:color="auto" w:fill="CCEEFF"/>
          </w:tcPr>
          <w:p>
            <w:pPr>
              <w:spacing w:after="0"/>
              <w:rPr>
                <w:sz w:val="20"/>
                <w:szCs w:val="20"/>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(213)</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(86)</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w:t>
            </w:r>
          </w:p>
        </w:tc>
      </w:tr>
      <w:tr>
        <w:trPr>
          <w:trHeight w:val="227"/>
        </w:trPr>
        <w:tc>
          <w:tcPr>
            <w:tcW w:w="58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Transaction, investment and servicing expense</w:t>
            </w:r>
          </w:p>
        </w:tc>
        <w:tc>
          <w:tcPr>
            <w:tcW w:w="16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w:t>
            </w:r>
          </w:p>
        </w:tc>
      </w:tr>
      <w:tr>
        <w:trPr>
          <w:trHeight w:val="233"/>
        </w:trPr>
        <w:tc>
          <w:tcPr>
            <w:tcW w:w="5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160" w:type="dxa"/>
            <w:vAlign w:val="bottom"/>
            <w:shd w:val="clear" w:color="auto" w:fill="CCEEFF"/>
          </w:tcPr>
          <w:p>
            <w:pPr>
              <w:spacing w:after="0"/>
              <w:rPr>
                <w:sz w:val="20"/>
                <w:szCs w:val="20"/>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7,154</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10,575</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10,519</w:t>
            </w:r>
          </w:p>
        </w:tc>
      </w:tr>
      <w:tr>
        <w:trPr>
          <w:trHeight w:val="226"/>
        </w:trPr>
        <w:tc>
          <w:tcPr>
            <w:tcW w:w="58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Impairment of operating real estate</w:t>
            </w:r>
          </w:p>
        </w:tc>
        <w:tc>
          <w:tcPr>
            <w:tcW w:w="16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2,509</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51,127</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33"/>
        </w:trPr>
        <w:tc>
          <w:tcPr>
            <w:tcW w:w="5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Operating expense</w:t>
            </w:r>
          </w:p>
        </w:tc>
        <w:tc>
          <w:tcPr>
            <w:tcW w:w="160" w:type="dxa"/>
            <w:vAlign w:val="bottom"/>
            <w:shd w:val="clear" w:color="auto" w:fill="CCEEFF"/>
          </w:tcPr>
          <w:p>
            <w:pPr>
              <w:spacing w:after="0"/>
              <w:rPr>
                <w:sz w:val="20"/>
                <w:szCs w:val="20"/>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r>
      <w:tr>
        <w:trPr>
          <w:trHeight w:val="227"/>
        </w:trPr>
        <w:tc>
          <w:tcPr>
            <w:tcW w:w="58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 (gain) loss on investments, net</w:t>
            </w:r>
          </w:p>
        </w:tc>
        <w:tc>
          <w:tcPr>
            <w:tcW w:w="16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(538)</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3,428</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742</w:t>
            </w:r>
          </w:p>
        </w:tc>
      </w:tr>
      <w:tr>
        <w:trPr>
          <w:trHeight w:val="232"/>
        </w:trPr>
        <w:tc>
          <w:tcPr>
            <w:tcW w:w="5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Income tax (benefit) expense</w:t>
            </w:r>
          </w:p>
        </w:tc>
        <w:tc>
          <w:tcPr>
            <w:tcW w:w="160" w:type="dxa"/>
            <w:vAlign w:val="bottom"/>
            <w:shd w:val="clear" w:color="auto" w:fill="CCEEFF"/>
          </w:tcPr>
          <w:p>
            <w:pPr>
              <w:spacing w:after="0"/>
              <w:rPr>
                <w:sz w:val="20"/>
                <w:szCs w:val="20"/>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(245)</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(21,770)</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254</w:t>
            </w:r>
          </w:p>
        </w:tc>
      </w:tr>
      <w:tr>
        <w:trPr>
          <w:trHeight w:val="227"/>
        </w:trPr>
        <w:tc>
          <w:tcPr>
            <w:tcW w:w="58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NOI attributable to noncontrolling interest in investment entities</w:t>
            </w:r>
          </w:p>
        </w:tc>
        <w:tc>
          <w:tcPr>
            <w:tcW w:w="16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(103)</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(277)</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(267)</w:t>
            </w:r>
          </w:p>
        </w:tc>
      </w:tr>
      <w:tr>
        <w:trPr>
          <w:trHeight w:val="246"/>
        </w:trPr>
        <w:tc>
          <w:tcPr>
            <w:tcW w:w="5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NOI, at share</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12,936</w:t>
            </w:r>
          </w:p>
        </w:tc>
        <w:tc>
          <w:tcPr>
            <w:tcW w:w="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18,742</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16,712</w:t>
            </w:r>
          </w:p>
        </w:tc>
      </w:tr>
      <w:tr>
        <w:trPr>
          <w:trHeight w:val="20"/>
        </w:trPr>
        <w:tc>
          <w:tcPr>
            <w:tcW w:w="58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r>
    </w:tbl>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________________________________________</w:t>
      </w:r>
    </w:p>
    <w:p>
      <w:pPr>
        <w:spacing w:after="0" w:line="27" w:lineRule="exact"/>
        <w:rPr>
          <w:sz w:val="20"/>
          <w:szCs w:val="20"/>
          <w:color w:val="auto"/>
        </w:rPr>
      </w:pPr>
    </w:p>
    <w:p>
      <w:pPr>
        <w:ind w:left="340" w:hanging="332"/>
        <w:spacing w:after="0" w:line="283" w:lineRule="auto"/>
        <w:tabs>
          <w:tab w:leader="none" w:pos="332" w:val="left"/>
        </w:tabs>
        <w:numPr>
          <w:ilvl w:val="0"/>
          <w:numId w:val="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Net income attributable to non-net leased and other real estate portfolios includes net (income) loss on our senior and mezzanine loans and preferred equity and corporate and other business segments.</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Overview</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material cash commitments include commitments to repay borrowings, finance our assets and operations, meet future funding obligations, make distributions to our stockholders and fund other general business needs. We use significant cash to make investments, meet commitments to existing investments, repay the principal of and interest on our borrowings and pay other financing costs, make distributions to our stockholders and fund our operations.</w:t>
      </w:r>
    </w:p>
    <w:p>
      <w:pPr>
        <w:spacing w:after="0" w:line="9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primary sources of liquidity include cash on hand, cash generated from our operating activities and cash generated from asset sales and investment maturities. However, subject to maintaining our qualification as a REIT and our Investment Company Act exclusion, we may use several sources to finance our business, including bank credit facilities (including term loans and revolving facilities), Master Repurchase Facilities and securitizations, as described below. In addition to our current sources of liquidity, there may be opportunities from time to time to access liquidity through public offerings of debt and equity securities. We have sufficient sources of liquidity to meet our material cash commitments for the next 12 months and the foreseeable future.</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Financing Strategy</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have a multi-pronged financing strategy that includes an up to $120.0 million secured revolving credit facility, up to approximately $2.4 billion in secured revolving repurchase facilities, $1.4 billion in non-recourse securitization financing, $178.9 million in commercial mortgages and $33.3 million in other asset-level financing structures, in each case, as of September 30, 2026.</w:t>
      </w:r>
    </w:p>
    <w:p>
      <w:pPr>
        <w:spacing w:after="0" w:line="9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addition, we may use other forms of financing, including warehouse facilities, public and private secured and unsecured debt issuances and equity or equity-related securities issuances by us or our subsidiaries. We may also finance a portion of our investments through the syndication of one or more interests in a whole loan. We will seek to match the nature and duration of the financing with the underlying asset’s cash flow, including using hedges, as appropriate.</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Debt-to-Equity Ratio</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our debt-to-equity ratio:</w:t>
      </w:r>
    </w:p>
    <w:p>
      <w:pPr>
        <w:spacing w:after="0" w:line="66"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580" w:type="dxa"/>
            <w:vAlign w:val="bottom"/>
            <w:tcBorders>
              <w:bottom w:val="single" w:sz="8" w:color="CCEEFF"/>
            </w:tcBorders>
          </w:tcPr>
          <w:p>
            <w:pPr>
              <w:spacing w:after="0"/>
              <w:rPr>
                <w:sz w:val="18"/>
                <w:szCs w:val="18"/>
                <w:color w:val="auto"/>
              </w:rPr>
            </w:pPr>
          </w:p>
        </w:tc>
        <w:tc>
          <w:tcPr>
            <w:tcW w:w="17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September 30, 2026</w:t>
            </w:r>
          </w:p>
        </w:tc>
        <w:tc>
          <w:tcPr>
            <w:tcW w:w="100" w:type="dxa"/>
            <w:vAlign w:val="bottom"/>
            <w:tcBorders>
              <w:bottom w:val="single" w:sz="8" w:color="CCEEFF"/>
            </w:tcBorders>
          </w:tcPr>
          <w:p>
            <w:pPr>
              <w:spacing w:after="0"/>
              <w:rPr>
                <w:sz w:val="18"/>
                <w:szCs w:val="18"/>
                <w:color w:val="auto"/>
              </w:rPr>
            </w:pPr>
          </w:p>
        </w:tc>
        <w:tc>
          <w:tcPr>
            <w:tcW w:w="17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December 31, 2025</w:t>
            </w:r>
          </w:p>
        </w:tc>
      </w:tr>
      <w:tr>
        <w:trPr>
          <w:trHeight w:val="226"/>
        </w:trPr>
        <w:tc>
          <w:tcPr>
            <w:tcW w:w="7580" w:type="dxa"/>
            <w:vAlign w:val="bottom"/>
            <w:shd w:val="clear" w:color="auto" w:fill="CCEEFF"/>
          </w:tcPr>
          <w:p>
            <w:pPr>
              <w:ind w:left="20"/>
              <w:spacing w:after="0" w:line="226" w:lineRule="exact"/>
              <w:rPr>
                <w:sz w:val="20"/>
                <w:szCs w:val="20"/>
                <w:color w:val="auto"/>
              </w:rPr>
            </w:pPr>
            <w:r>
              <w:rPr>
                <w:rFonts w:ascii="Times New Roman" w:cs="Times New Roman" w:eastAsia="Times New Roman" w:hAnsi="Times New Roman"/>
                <w:sz w:val="16"/>
                <w:szCs w:val="16"/>
                <w:color w:val="auto"/>
              </w:rPr>
              <w:t>Debt-to-equity ratio</w:t>
            </w:r>
            <w:r>
              <w:rPr>
                <w:rFonts w:ascii="Times New Roman" w:cs="Times New Roman" w:eastAsia="Times New Roman" w:hAnsi="Times New Roman"/>
                <w:sz w:val="21"/>
                <w:szCs w:val="21"/>
                <w:color w:val="auto"/>
                <w:vertAlign w:val="superscript"/>
              </w:rPr>
              <w:t>(1)(2)</w:t>
            </w:r>
          </w:p>
        </w:tc>
        <w:tc>
          <w:tcPr>
            <w:tcW w:w="188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6"/>
                <w:szCs w:val="16"/>
                <w:color w:val="auto"/>
                <w:w w:val="99"/>
              </w:rPr>
              <w:t>2.9x</w:t>
            </w:r>
          </w:p>
        </w:tc>
        <w:tc>
          <w:tcPr>
            <w:tcW w:w="1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2.6x</w:t>
            </w:r>
          </w:p>
        </w:tc>
      </w:tr>
      <w:tr>
        <w:trPr>
          <w:trHeight w:val="260"/>
        </w:trPr>
        <w:tc>
          <w:tcPr>
            <w:tcW w:w="7580" w:type="dxa"/>
            <w:vAlign w:val="bottom"/>
          </w:tcPr>
          <w:p>
            <w:pPr>
              <w:spacing w:after="0"/>
              <w:rPr>
                <w:sz w:val="20"/>
                <w:szCs w:val="20"/>
                <w:color w:val="auto"/>
              </w:rPr>
            </w:pPr>
            <w:r>
              <w:rPr>
                <w:rFonts w:ascii="Times New Roman" w:cs="Times New Roman" w:eastAsia="Times New Roman" w:hAnsi="Times New Roman"/>
                <w:sz w:val="14"/>
                <w:szCs w:val="14"/>
                <w:color w:val="auto"/>
              </w:rPr>
              <w:t>_________________________________________</w:t>
            </w:r>
          </w:p>
        </w:tc>
        <w:tc>
          <w:tcPr>
            <w:tcW w:w="17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780" w:type="dxa"/>
            <w:vAlign w:val="bottom"/>
          </w:tcPr>
          <w:p>
            <w:pPr>
              <w:spacing w:after="0"/>
              <w:rPr>
                <w:sz w:val="22"/>
                <w:szCs w:val="22"/>
                <w:color w:val="auto"/>
              </w:rPr>
            </w:pPr>
          </w:p>
        </w:tc>
      </w:tr>
    </w:tbl>
    <w:p>
      <w:pPr>
        <w:ind w:left="340" w:hanging="332"/>
        <w:spacing w:after="0" w:line="254" w:lineRule="auto"/>
        <w:tabs>
          <w:tab w:leader="none" w:pos="332" w:val="left"/>
        </w:tabs>
        <w:numPr>
          <w:ilvl w:val="0"/>
          <w:numId w:val="4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(i) total consolidated outstanding secured debt less cash and cash equivalents of $63.6 million and $66.8 million at September 30, 2026 and December 31, 2025, respectively to (ii) total equity, in each case, at period end.</w:t>
      </w:r>
    </w:p>
    <w:p>
      <w:pPr>
        <w:ind w:left="340" w:hanging="332"/>
        <w:spacing w:after="0" w:line="278" w:lineRule="auto"/>
        <w:tabs>
          <w:tab w:leader="none" w:pos="332" w:val="left"/>
        </w:tabs>
        <w:numPr>
          <w:ilvl w:val="0"/>
          <w:numId w:val="4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Excluding the impact of accumulated depreciation and amortization on real estate investments and including the impact of non-GAAP impairment of real estate, the debt-to-equity ratio was 2.6x and 2.3x at September 30, 2026 and December 31, 2025, respectively.</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Potential Sources of Liquidity</w:t>
      </w:r>
    </w:p>
    <w:p>
      <w:pPr>
        <w:spacing w:after="0" w:line="14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 discussed in greater detail above under “Trends Affecting our Business,” and “Factors Impacting Our Operating Results” overall market uncertainty coupled with rising inflation and high interest rates have tempered the loan financing markets recently. A high interest rate environment will result in increased interest expense on our variable rate debt that is not hedged and may result in disruptions to our borrowers’ and tenants’ ability to finance their activities, which would similarly adversely impact their ability to make their monthly mortgage payments and meet their loan obligations. Additionally, due to the current market conditions, warehouse lenders may take a more conservative stance by increasing funding costs, which may lead to margin calls.</w:t>
      </w:r>
    </w:p>
    <w:p>
      <w:pPr>
        <w:spacing w:after="0" w:line="11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primary sources of liquidity include borrowings available under our credit facilities, Master Repurchase Facilities and monthly mortgage payments from our borrowers.</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Bank Credit Facilities</w:t>
      </w:r>
    </w:p>
    <w:p>
      <w:pPr>
        <w:spacing w:after="0" w:line="14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use bank credit facilities (including term loans and revolving facilities) to finance our business. These financings may be collateralized or non-collateralized and may involve one or more lenders. Credit facilities typically have maturities ranging from two to five years and may accrue interest at either fixed or floating rates.</w:t>
      </w:r>
    </w:p>
    <w:p>
      <w:pPr>
        <w:spacing w:after="0" w:line="10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OP (together with certain subsidiaries of the OP from time-to-time party thereto as borrowers, collectively, the “Borrowers”) is party to an Amended and Restated Credit Agreement (as amended to date, the “Amended Credit Agreement”) with JPMorgan Chase Bank, N.A., as administrative agent (the “Administrative Agent”), and the several lenders from time to time party thereto (the “Lenders”). The Amended Credit Agreement provides for a revolving credit facility in the aggregate principal amount of up to $120.0 million, of which up to $25.0 million is available as letters of credit.</w:t>
      </w:r>
    </w:p>
    <w:p>
      <w:pPr>
        <w:spacing w:after="0" w:line="11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Loans under the Amended Credit Agreement may be advanced in U.S. dollars and certain foreign currencies, including euros, pounds sterling and Swiss francs.</w:t>
      </w:r>
    </w:p>
    <w:p>
      <w:pPr>
        <w:spacing w:after="0" w:line="8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Amended Credit Agreement also includes an option for the Borrowers to increase the maximum available principal amount to up to $180.0 million, subject to one or more new or existing Lenders agreeing to provide such additional loan commitments and satisfaction of other customary conditions.</w:t>
      </w:r>
    </w:p>
    <w:p>
      <w:pPr>
        <w:spacing w:after="0" w:line="9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Advances under the Amended Credit Agreement accrue interest at a per annum rate equal to, at the applicable Borrower’s election, either (x) a Term SOFR rate plus a margin of 2.25%, or (y) a base rate equal to the highest of (i) the Wall Street Journal’s prime rate, (ii) the federal funds rate plus 0.50% and (iii) the Term SOFR rate plus 1.00%, plus a margin of 1.25%. An unused commitment fee at a rate of 0.25% or 0.35%, per annum, depending on the amount of facility utilization, applies to unutilized borrowing capacity under the Amended Credit Agreement. Amounts owed under the Amended Credit Agreement may be prepaid at any time without premium or penalty, subject to customary breakage costs in the case of borrowings with respect to which a Term SOFR rate election is in effect.</w:t>
      </w:r>
    </w:p>
    <w:p>
      <w:pPr>
        <w:spacing w:after="0" w:line="120"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The maximum amount available for borrowing at any time under the Amended Credit Agreement is limited to a borrowing base valuation of certain investment assets, with the valuation of such investment assets generally determined according to a percentage of adjusted net book value. As of September 30, 2026, the borrowing base valuation is sufficient to permit borrowings of up to the entire $120.0 million commitment. If any borrowing is outstanding for more than 180 days after its initial draw, the borrowing base valuation will be reduced by 50% until all outstanding borrowings are repaid in full. The ability to borrow new amounts under the Amended Credit Agreement terminates and any outstanding revolving loans will mature on December 8, 2028.</w:t>
      </w:r>
    </w:p>
    <w:p>
      <w:pPr>
        <w:spacing w:after="0" w:line="32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obligations of the Borrowers under the Amended Credit Agreement are guaranteed pursuant to a Guarantee and Collateral Agreement by substantially all material wholly owned subsidiaries of the OP (the “Guarantors”) in favor of the Administrative Agent (the “Guarantee and Collateral Agreement”) and, subject to certain exceptions, secured by a pledge of substantially all equity interests owned by the Borrowers and the Guarantors, as well as by a security interest in deposit accounts of the</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Borrowers and the Guarantors (as such terms are defined in the Guarantee and Collateral Agreement) in which the proceeds of investment asset distributions are maintained.</w:t>
      </w:r>
    </w:p>
    <w:p>
      <w:pPr>
        <w:spacing w:after="0" w:line="8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Amended Credit Agreement contains various affirmative and negative covenants, including, among other things, the obligation of the Company to maintain REIT status and be listed on the New York Stock Exchange or any other U.S. national or international securities exchange, and limitations on debt, liens and restricted payments. In addition, the Amended Credit Agreement includes the following financial covenants applicable to the OP and its consolidated subsidiaries: (a) minimum consolidated tangible net worth of the OP to be greater than or equal to the sum of (i) $900,000,000 and (ii) 70% of the net cash proceeds received by the OP from any offering of its common equity after December 9, 2025 and of the net cash proceeds from any offering by the Company of its common equity to the extent such proceeds are contributed to the OP, excluding any such proceeds that are contributed to the OP within ninety (90) days of receipt and applied to acquire capital stock of the OP; (b) the OP’s EBITDA plus lease expenses to fixed charges for any period of four consecutive fiscal quarters not less than 1.40 to 1.00; (c) the OP’s minimum interest coverage ratio to be not less than 3.00 to 1.00; and (d) the OP’s ratio of consolidated total debt to consolidated total assets must not exceed 0.80 to 1.00. The Amended Credit Agreement also includes customary events of default, including, among other things, failure to make payments when due, breach of covenants or representations, cross default to material indebtedness, material judgment defaults, bankruptcy matters involving any Borrower or any Guarantor and certain change of control events. The occurrence of an event of default will limit the ability of the OP and its subsidiaries to make distributions and may result in the termination of the credit facility, acceleration of repayment obligations and the exercise of remedies by the Lenders with respect to the collateral.</w:t>
      </w:r>
    </w:p>
    <w:p>
      <w:pPr>
        <w:spacing w:after="0" w:line="120" w:lineRule="exact"/>
        <w:rPr>
          <w:sz w:val="20"/>
          <w:szCs w:val="20"/>
          <w:color w:val="auto"/>
        </w:rPr>
      </w:pPr>
    </w:p>
    <w:p>
      <w:pPr>
        <w:ind w:right="1620"/>
        <w:spacing w:after="0" w:line="414" w:lineRule="auto"/>
        <w:rPr>
          <w:sz w:val="20"/>
          <w:szCs w:val="20"/>
          <w:color w:val="auto"/>
        </w:rPr>
      </w:pPr>
      <w:r>
        <w:rPr>
          <w:rFonts w:ascii="Times New Roman" w:cs="Times New Roman" w:eastAsia="Times New Roman" w:hAnsi="Times New Roman"/>
          <w:sz w:val="18"/>
          <w:szCs w:val="18"/>
          <w:color w:val="auto"/>
        </w:rPr>
        <w:t xml:space="preserve">As of September 30, 2026, the Company was in compliance with all of its financial covenants under the Amended Credit Agreement. </w:t>
      </w:r>
      <w:r>
        <w:rPr>
          <w:rFonts w:ascii="Times New Roman" w:cs="Times New Roman" w:eastAsia="Times New Roman" w:hAnsi="Times New Roman"/>
          <w:sz w:val="18"/>
          <w:szCs w:val="18"/>
          <w:i w:val="1"/>
          <w:iCs w:val="1"/>
          <w:color w:val="auto"/>
        </w:rPr>
        <w:t>Master Repurchase Facilities</w:t>
      </w:r>
    </w:p>
    <w:p>
      <w:pPr>
        <w:spacing w:after="0" w:line="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Currently, our primary sources of financing the origination of first mortgage loans and senior loan participations secured by senior loan investments are our repurchase agreements with multiple global financial institutions (each, a “Master Repurchase Facility” and collectively, the “Master Repurchase Facilities”). The Master Repurchase Facilities, effectively allow us to borrow against loans that we own in an amount generally equal to (i) the market value of such loans multiplied by (ii) the applicable advance rate. Under these agreements, we sell our loans to a counterparty and agree to repurchase the same loans from the counterparty at a price equal to the original sales price plus an interest factor. During the term of a repurchase agreement, we receive the principal and interest on the related loans and pay interest to the lender under the master repurchase agreement. We intend to maintain formal relationships with multiple counterparties to obtain master repurchase financing.</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a summary of our Master Repurchase Facilities and Bank Credit Facility as of September 30, 2026 (dollars in thousands):</w:t>
      </w:r>
    </w:p>
    <w:p>
      <w:pPr>
        <w:spacing w:after="0" w:line="4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60" w:type="dxa"/>
            <w:vAlign w:val="bottom"/>
          </w:tcPr>
          <w:p>
            <w:pPr>
              <w:spacing w:after="0"/>
              <w:rPr>
                <w:sz w:val="13"/>
                <w:szCs w:val="13"/>
                <w:color w:val="auto"/>
              </w:rPr>
            </w:pPr>
          </w:p>
        </w:tc>
        <w:tc>
          <w:tcPr>
            <w:tcW w:w="1660" w:type="dxa"/>
            <w:vAlign w:val="bottom"/>
            <w:gridSpan w:val="3"/>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Maximum Facility Size</w:t>
            </w:r>
          </w:p>
        </w:tc>
        <w:tc>
          <w:tcPr>
            <w:tcW w:w="100" w:type="dxa"/>
            <w:vAlign w:val="bottom"/>
          </w:tcPr>
          <w:p>
            <w:pPr>
              <w:spacing w:after="0"/>
              <w:rPr>
                <w:sz w:val="13"/>
                <w:szCs w:val="13"/>
                <w:color w:val="auto"/>
              </w:rPr>
            </w:pPr>
          </w:p>
        </w:tc>
        <w:tc>
          <w:tcPr>
            <w:tcW w:w="1360" w:type="dxa"/>
            <w:vAlign w:val="bottom"/>
            <w:vMerge w:val="restart"/>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Current Borrowings</w:t>
            </w:r>
          </w:p>
        </w:tc>
        <w:tc>
          <w:tcPr>
            <w:tcW w:w="100" w:type="dxa"/>
            <w:vAlign w:val="bottom"/>
          </w:tcPr>
          <w:p>
            <w:pPr>
              <w:spacing w:after="0"/>
              <w:rPr>
                <w:sz w:val="13"/>
                <w:szCs w:val="13"/>
                <w:color w:val="auto"/>
              </w:rPr>
            </w:pPr>
          </w:p>
        </w:tc>
        <w:tc>
          <w:tcPr>
            <w:tcW w:w="172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Weighted Average Final</w:t>
            </w:r>
          </w:p>
        </w:tc>
        <w:tc>
          <w:tcPr>
            <w:tcW w:w="21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Weighted Average Interest Rate</w:t>
            </w:r>
            <w:r>
              <w:rPr>
                <w:rFonts w:ascii="Times New Roman" w:cs="Times New Roman" w:eastAsia="Times New Roman" w:hAnsi="Times New Roman"/>
                <w:sz w:val="21"/>
                <w:szCs w:val="21"/>
                <w:b w:val="1"/>
                <w:bCs w:val="1"/>
                <w:color w:val="auto"/>
                <w:vertAlign w:val="superscript"/>
              </w:rPr>
              <w:t>(1)</w:t>
            </w:r>
          </w:p>
        </w:tc>
        <w:tc>
          <w:tcPr>
            <w:tcW w:w="0" w:type="dxa"/>
            <w:vAlign w:val="bottom"/>
          </w:tcPr>
          <w:p>
            <w:pPr>
              <w:spacing w:after="0"/>
              <w:rPr>
                <w:sz w:val="1"/>
                <w:szCs w:val="1"/>
                <w:color w:val="auto"/>
              </w:rPr>
            </w:pPr>
          </w:p>
        </w:tc>
      </w:tr>
      <w:tr>
        <w:trPr>
          <w:trHeight w:val="200"/>
        </w:trPr>
        <w:tc>
          <w:tcPr>
            <w:tcW w:w="4160" w:type="dxa"/>
            <w:vAlign w:val="bottom"/>
          </w:tcPr>
          <w:p>
            <w:pPr>
              <w:spacing w:after="0"/>
              <w:rPr>
                <w:sz w:val="17"/>
                <w:szCs w:val="17"/>
                <w:color w:val="auto"/>
              </w:rPr>
            </w:pPr>
          </w:p>
        </w:tc>
        <w:tc>
          <w:tcPr>
            <w:tcW w:w="1660" w:type="dxa"/>
            <w:vAlign w:val="bottom"/>
            <w:gridSpan w:val="3"/>
            <w:vMerge w:val="continue"/>
          </w:tcPr>
          <w:p>
            <w:pPr>
              <w:spacing w:after="0"/>
              <w:rPr>
                <w:sz w:val="17"/>
                <w:szCs w:val="17"/>
                <w:color w:val="auto"/>
              </w:rPr>
            </w:pPr>
          </w:p>
        </w:tc>
        <w:tc>
          <w:tcPr>
            <w:tcW w:w="100" w:type="dxa"/>
            <w:vAlign w:val="bottom"/>
          </w:tcPr>
          <w:p>
            <w:pPr>
              <w:spacing w:after="0"/>
              <w:rPr>
                <w:sz w:val="17"/>
                <w:szCs w:val="17"/>
                <w:color w:val="auto"/>
              </w:rPr>
            </w:pPr>
          </w:p>
        </w:tc>
        <w:tc>
          <w:tcPr>
            <w:tcW w:w="136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72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Maturity (Years)</w:t>
            </w:r>
          </w:p>
        </w:tc>
        <w:tc>
          <w:tcPr>
            <w:tcW w:w="21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41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Master Repurchase Facilities</w:t>
            </w:r>
          </w:p>
        </w:tc>
        <w:tc>
          <w:tcPr>
            <w:tcW w:w="48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4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14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41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Bank 1</w:t>
            </w:r>
          </w:p>
        </w:tc>
        <w:tc>
          <w:tcPr>
            <w:tcW w:w="480" w:type="dxa"/>
            <w:vAlign w:val="bottom"/>
          </w:tcPr>
          <w:p>
            <w:pPr>
              <w:jc w:val="right"/>
              <w:ind w:right="302"/>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600,000</w:t>
            </w:r>
          </w:p>
        </w:tc>
        <w:tc>
          <w:tcPr>
            <w:tcW w:w="10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405,216</w:t>
            </w:r>
          </w:p>
        </w:tc>
        <w:tc>
          <w:tcPr>
            <w:tcW w:w="1740" w:type="dxa"/>
            <w:vAlign w:val="bottom"/>
            <w:gridSpan w:val="2"/>
          </w:tcPr>
          <w:p>
            <w:pPr>
              <w:jc w:val="right"/>
              <w:ind w:right="8"/>
              <w:spacing w:after="0"/>
              <w:rPr>
                <w:sz w:val="20"/>
                <w:szCs w:val="20"/>
                <w:color w:val="auto"/>
              </w:rPr>
            </w:pPr>
            <w:r>
              <w:rPr>
                <w:rFonts w:ascii="Times New Roman" w:cs="Times New Roman" w:eastAsia="Times New Roman" w:hAnsi="Times New Roman"/>
                <w:sz w:val="16"/>
                <w:szCs w:val="16"/>
                <w:color w:val="auto"/>
              </w:rPr>
              <w:t>2.0</w:t>
            </w:r>
          </w:p>
        </w:tc>
        <w:tc>
          <w:tcPr>
            <w:tcW w:w="80" w:type="dxa"/>
            <w:vAlign w:val="bottom"/>
          </w:tcPr>
          <w:p>
            <w:pPr>
              <w:spacing w:after="0"/>
              <w:rPr>
                <w:sz w:val="19"/>
                <w:szCs w:val="19"/>
                <w:color w:val="auto"/>
              </w:rPr>
            </w:pPr>
          </w:p>
        </w:tc>
        <w:tc>
          <w:tcPr>
            <w:tcW w:w="2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SOFR + 1.98%</w:t>
            </w:r>
          </w:p>
        </w:tc>
        <w:tc>
          <w:tcPr>
            <w:tcW w:w="0" w:type="dxa"/>
            <w:vAlign w:val="bottom"/>
          </w:tcPr>
          <w:p>
            <w:pPr>
              <w:spacing w:after="0"/>
              <w:rPr>
                <w:sz w:val="1"/>
                <w:szCs w:val="1"/>
                <w:color w:val="auto"/>
              </w:rPr>
            </w:pPr>
          </w:p>
        </w:tc>
      </w:tr>
      <w:tr>
        <w:trPr>
          <w:trHeight w:val="233"/>
        </w:trPr>
        <w:tc>
          <w:tcPr>
            <w:tcW w:w="4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Bank 2</w:t>
            </w:r>
          </w:p>
        </w:tc>
        <w:tc>
          <w:tcPr>
            <w:tcW w:w="48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600,000</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740" w:type="dxa"/>
            <w:vAlign w:val="bottom"/>
            <w:gridSpan w:val="2"/>
            <w:shd w:val="clear" w:color="auto" w:fill="CCEEFF"/>
          </w:tcPr>
          <w:p>
            <w:pPr>
              <w:jc w:val="right"/>
              <w:ind w:right="8"/>
              <w:spacing w:after="0"/>
              <w:rPr>
                <w:sz w:val="20"/>
                <w:szCs w:val="20"/>
                <w:color w:val="auto"/>
              </w:rPr>
            </w:pPr>
            <w:r>
              <w:rPr>
                <w:rFonts w:ascii="Times New Roman" w:cs="Times New Roman" w:eastAsia="Times New Roman" w:hAnsi="Times New Roman"/>
                <w:sz w:val="16"/>
                <w:szCs w:val="16"/>
                <w:color w:val="auto"/>
              </w:rPr>
              <w:t>3.5</w:t>
            </w:r>
          </w:p>
        </w:tc>
        <w:tc>
          <w:tcPr>
            <w:tcW w:w="80" w:type="dxa"/>
            <w:vAlign w:val="bottom"/>
            <w:shd w:val="clear" w:color="auto" w:fill="CCEEFF"/>
          </w:tcPr>
          <w:p>
            <w:pPr>
              <w:spacing w:after="0"/>
              <w:rPr>
                <w:sz w:val="20"/>
                <w:szCs w:val="20"/>
                <w:color w:val="auto"/>
              </w:rPr>
            </w:pPr>
          </w:p>
        </w:tc>
        <w:tc>
          <w:tcPr>
            <w:tcW w:w="2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n/a</w:t>
            </w:r>
          </w:p>
        </w:tc>
        <w:tc>
          <w:tcPr>
            <w:tcW w:w="0" w:type="dxa"/>
            <w:vAlign w:val="bottom"/>
          </w:tcPr>
          <w:p>
            <w:pPr>
              <w:spacing w:after="0"/>
              <w:rPr>
                <w:sz w:val="1"/>
                <w:szCs w:val="1"/>
                <w:color w:val="auto"/>
              </w:rPr>
            </w:pPr>
          </w:p>
        </w:tc>
      </w:tr>
      <w:tr>
        <w:trPr>
          <w:trHeight w:val="226"/>
        </w:trPr>
        <w:tc>
          <w:tcPr>
            <w:tcW w:w="41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Bank 3</w:t>
            </w:r>
          </w:p>
        </w:tc>
        <w:tc>
          <w:tcPr>
            <w:tcW w:w="4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500,000</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223,793</w:t>
            </w:r>
          </w:p>
        </w:tc>
        <w:tc>
          <w:tcPr>
            <w:tcW w:w="1740" w:type="dxa"/>
            <w:vAlign w:val="bottom"/>
            <w:gridSpan w:val="2"/>
          </w:tcPr>
          <w:p>
            <w:pPr>
              <w:jc w:val="right"/>
              <w:ind w:right="8"/>
              <w:spacing w:after="0"/>
              <w:rPr>
                <w:sz w:val="20"/>
                <w:szCs w:val="20"/>
                <w:color w:val="auto"/>
              </w:rPr>
            </w:pPr>
            <w:r>
              <w:rPr>
                <w:rFonts w:ascii="Times New Roman" w:cs="Times New Roman" w:eastAsia="Times New Roman" w:hAnsi="Times New Roman"/>
                <w:sz w:val="16"/>
                <w:szCs w:val="16"/>
                <w:color w:val="auto"/>
              </w:rPr>
              <w:t>3.7</w:t>
            </w:r>
          </w:p>
        </w:tc>
        <w:tc>
          <w:tcPr>
            <w:tcW w:w="80" w:type="dxa"/>
            <w:vAlign w:val="bottom"/>
          </w:tcPr>
          <w:p>
            <w:pPr>
              <w:spacing w:after="0"/>
              <w:rPr>
                <w:sz w:val="19"/>
                <w:szCs w:val="19"/>
                <w:color w:val="auto"/>
              </w:rPr>
            </w:pPr>
          </w:p>
        </w:tc>
        <w:tc>
          <w:tcPr>
            <w:tcW w:w="2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SOFR + 1.74%</w:t>
            </w:r>
          </w:p>
        </w:tc>
        <w:tc>
          <w:tcPr>
            <w:tcW w:w="0" w:type="dxa"/>
            <w:vAlign w:val="bottom"/>
          </w:tcPr>
          <w:p>
            <w:pPr>
              <w:spacing w:after="0"/>
              <w:rPr>
                <w:sz w:val="1"/>
                <w:szCs w:val="1"/>
                <w:color w:val="auto"/>
              </w:rPr>
            </w:pPr>
          </w:p>
        </w:tc>
      </w:tr>
      <w:tr>
        <w:trPr>
          <w:trHeight w:val="233"/>
        </w:trPr>
        <w:tc>
          <w:tcPr>
            <w:tcW w:w="4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Bank 4</w:t>
            </w:r>
          </w:p>
        </w:tc>
        <w:tc>
          <w:tcPr>
            <w:tcW w:w="48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400,000</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224,752</w:t>
            </w:r>
          </w:p>
        </w:tc>
        <w:tc>
          <w:tcPr>
            <w:tcW w:w="1740" w:type="dxa"/>
            <w:vAlign w:val="bottom"/>
            <w:gridSpan w:val="2"/>
            <w:shd w:val="clear" w:color="auto" w:fill="CCEEFF"/>
          </w:tcPr>
          <w:p>
            <w:pPr>
              <w:jc w:val="right"/>
              <w:ind w:right="8"/>
              <w:spacing w:after="0"/>
              <w:rPr>
                <w:sz w:val="20"/>
                <w:szCs w:val="20"/>
                <w:color w:val="auto"/>
              </w:rPr>
            </w:pPr>
            <w:r>
              <w:rPr>
                <w:rFonts w:ascii="Times New Roman" w:cs="Times New Roman" w:eastAsia="Times New Roman" w:hAnsi="Times New Roman"/>
                <w:sz w:val="16"/>
                <w:szCs w:val="16"/>
                <w:color w:val="auto"/>
              </w:rPr>
              <w:t>3.1</w:t>
            </w:r>
          </w:p>
        </w:tc>
        <w:tc>
          <w:tcPr>
            <w:tcW w:w="80" w:type="dxa"/>
            <w:vAlign w:val="bottom"/>
            <w:shd w:val="clear" w:color="auto" w:fill="CCEEFF"/>
          </w:tcPr>
          <w:p>
            <w:pPr>
              <w:spacing w:after="0"/>
              <w:rPr>
                <w:sz w:val="20"/>
                <w:szCs w:val="20"/>
                <w:color w:val="auto"/>
              </w:rPr>
            </w:pPr>
          </w:p>
        </w:tc>
        <w:tc>
          <w:tcPr>
            <w:tcW w:w="2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SOFR + 1.45%</w:t>
            </w:r>
          </w:p>
        </w:tc>
        <w:tc>
          <w:tcPr>
            <w:tcW w:w="0" w:type="dxa"/>
            <w:vAlign w:val="bottom"/>
          </w:tcPr>
          <w:p>
            <w:pPr>
              <w:spacing w:after="0"/>
              <w:rPr>
                <w:sz w:val="1"/>
                <w:szCs w:val="1"/>
                <w:color w:val="auto"/>
              </w:rPr>
            </w:pPr>
          </w:p>
        </w:tc>
      </w:tr>
      <w:tr>
        <w:trPr>
          <w:trHeight w:val="227"/>
        </w:trPr>
        <w:tc>
          <w:tcPr>
            <w:tcW w:w="41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Bank 5</w:t>
            </w:r>
          </w:p>
        </w:tc>
        <w:tc>
          <w:tcPr>
            <w:tcW w:w="4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250,000</w:t>
            </w:r>
          </w:p>
        </w:tc>
        <w:tc>
          <w:tcPr>
            <w:tcW w:w="1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161,092</w:t>
            </w:r>
          </w:p>
        </w:tc>
        <w:tc>
          <w:tcPr>
            <w:tcW w:w="1740" w:type="dxa"/>
            <w:vAlign w:val="bottom"/>
            <w:tcBorders>
              <w:bottom w:val="single" w:sz="8" w:color="CCEEFF"/>
            </w:tcBorders>
            <w:gridSpan w:val="2"/>
          </w:tcPr>
          <w:p>
            <w:pPr>
              <w:jc w:val="right"/>
              <w:ind w:right="8"/>
              <w:spacing w:after="0"/>
              <w:rPr>
                <w:sz w:val="20"/>
                <w:szCs w:val="20"/>
                <w:color w:val="auto"/>
              </w:rPr>
            </w:pPr>
            <w:r>
              <w:rPr>
                <w:rFonts w:ascii="Times New Roman" w:cs="Times New Roman" w:eastAsia="Times New Roman" w:hAnsi="Times New Roman"/>
                <w:sz w:val="16"/>
                <w:szCs w:val="16"/>
                <w:color w:val="auto"/>
              </w:rPr>
              <w:t>4.4</w:t>
            </w:r>
          </w:p>
        </w:tc>
        <w:tc>
          <w:tcPr>
            <w:tcW w:w="80" w:type="dxa"/>
            <w:vAlign w:val="bottom"/>
            <w:tcBorders>
              <w:bottom w:val="single" w:sz="8" w:color="CCEEFF"/>
            </w:tcBorders>
          </w:tcPr>
          <w:p>
            <w:pPr>
              <w:spacing w:after="0"/>
              <w:rPr>
                <w:sz w:val="19"/>
                <w:szCs w:val="19"/>
                <w:color w:val="auto"/>
              </w:rPr>
            </w:pPr>
          </w:p>
        </w:tc>
        <w:tc>
          <w:tcPr>
            <w:tcW w:w="21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rPr>
              <w:t>SOFR + 1.92%</w:t>
            </w:r>
          </w:p>
        </w:tc>
        <w:tc>
          <w:tcPr>
            <w:tcW w:w="0" w:type="dxa"/>
            <w:vAlign w:val="bottom"/>
          </w:tcPr>
          <w:p>
            <w:pPr>
              <w:spacing w:after="0"/>
              <w:rPr>
                <w:sz w:val="1"/>
                <w:szCs w:val="1"/>
                <w:color w:val="auto"/>
              </w:rPr>
            </w:pPr>
          </w:p>
        </w:tc>
      </w:tr>
      <w:tr>
        <w:trPr>
          <w:trHeight w:val="226"/>
        </w:trPr>
        <w:tc>
          <w:tcPr>
            <w:tcW w:w="4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Total Master Repurchase Facilities</w:t>
            </w:r>
          </w:p>
        </w:tc>
        <w:tc>
          <w:tcPr>
            <w:tcW w:w="4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2,350,000</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1,014,853</w:t>
            </w:r>
          </w:p>
        </w:tc>
        <w:tc>
          <w:tcPr>
            <w:tcW w:w="100" w:type="dxa"/>
            <w:vAlign w:val="bottom"/>
            <w:shd w:val="clear" w:color="auto" w:fill="CCEEFF"/>
          </w:tcPr>
          <w:p>
            <w:pPr>
              <w:spacing w:after="0"/>
              <w:rPr>
                <w:sz w:val="19"/>
                <w:szCs w:val="19"/>
                <w:color w:val="auto"/>
              </w:rPr>
            </w:pPr>
          </w:p>
        </w:tc>
        <w:tc>
          <w:tcPr>
            <w:tcW w:w="16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62"/>
        </w:trPr>
        <w:tc>
          <w:tcPr>
            <w:tcW w:w="41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16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3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1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27"/>
        </w:trPr>
        <w:tc>
          <w:tcPr>
            <w:tcW w:w="416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Bank Credit Facility</w:t>
            </w:r>
          </w:p>
        </w:tc>
        <w:tc>
          <w:tcPr>
            <w:tcW w:w="4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120,000</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45,000</w:t>
            </w:r>
          </w:p>
        </w:tc>
        <w:tc>
          <w:tcPr>
            <w:tcW w:w="1740" w:type="dxa"/>
            <w:vAlign w:val="bottom"/>
            <w:gridSpan w:val="2"/>
          </w:tcPr>
          <w:p>
            <w:pPr>
              <w:jc w:val="right"/>
              <w:ind w:right="8"/>
              <w:spacing w:after="0"/>
              <w:rPr>
                <w:sz w:val="20"/>
                <w:szCs w:val="20"/>
                <w:color w:val="auto"/>
              </w:rPr>
            </w:pPr>
            <w:r>
              <w:rPr>
                <w:rFonts w:ascii="Times New Roman" w:cs="Times New Roman" w:eastAsia="Times New Roman" w:hAnsi="Times New Roman"/>
                <w:sz w:val="16"/>
                <w:szCs w:val="16"/>
                <w:color w:val="auto"/>
              </w:rPr>
              <w:t>2.2</w:t>
            </w:r>
          </w:p>
        </w:tc>
        <w:tc>
          <w:tcPr>
            <w:tcW w:w="80" w:type="dxa"/>
            <w:vAlign w:val="bottom"/>
          </w:tcPr>
          <w:p>
            <w:pPr>
              <w:spacing w:after="0"/>
              <w:rPr>
                <w:sz w:val="19"/>
                <w:szCs w:val="19"/>
                <w:color w:val="auto"/>
              </w:rPr>
            </w:pPr>
          </w:p>
        </w:tc>
        <w:tc>
          <w:tcPr>
            <w:tcW w:w="2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SOFR + 2.25%</w:t>
            </w:r>
          </w:p>
        </w:tc>
        <w:tc>
          <w:tcPr>
            <w:tcW w:w="0" w:type="dxa"/>
            <w:vAlign w:val="bottom"/>
          </w:tcPr>
          <w:p>
            <w:pPr>
              <w:spacing w:after="0"/>
              <w:rPr>
                <w:sz w:val="1"/>
                <w:szCs w:val="1"/>
                <w:color w:val="auto"/>
              </w:rPr>
            </w:pPr>
          </w:p>
        </w:tc>
      </w:tr>
      <w:tr>
        <w:trPr>
          <w:trHeight w:val="165"/>
        </w:trPr>
        <w:tc>
          <w:tcPr>
            <w:tcW w:w="4160" w:type="dxa"/>
            <w:vAlign w:val="bottom"/>
            <w:shd w:val="clear" w:color="auto" w:fill="CCEEFF"/>
          </w:tcPr>
          <w:p>
            <w:pPr>
              <w:spacing w:after="0"/>
              <w:rPr>
                <w:sz w:val="14"/>
                <w:szCs w:val="14"/>
                <w:color w:val="auto"/>
              </w:rPr>
            </w:pPr>
          </w:p>
        </w:tc>
        <w:tc>
          <w:tcPr>
            <w:tcW w:w="480" w:type="dxa"/>
            <w:vAlign w:val="bottom"/>
            <w:tcBorders>
              <w:bottom w:val="single" w:sz="8" w:color="auto"/>
            </w:tcBorders>
            <w:shd w:val="clear" w:color="auto" w:fill="CCEEFF"/>
          </w:tcPr>
          <w:p>
            <w:pPr>
              <w:spacing w:after="0"/>
              <w:rPr>
                <w:sz w:val="14"/>
                <w:szCs w:val="14"/>
                <w:color w:val="auto"/>
              </w:rPr>
            </w:pPr>
          </w:p>
        </w:tc>
        <w:tc>
          <w:tcPr>
            <w:tcW w:w="1080" w:type="dxa"/>
            <w:vAlign w:val="bottom"/>
            <w:tcBorders>
              <w:bottom w:val="single" w:sz="8" w:color="auto"/>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1360" w:type="dxa"/>
            <w:vAlign w:val="bottom"/>
            <w:tcBorders>
              <w:bottom w:val="single" w:sz="8" w:color="auto"/>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1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416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Total Facilities</w:t>
            </w:r>
          </w:p>
        </w:tc>
        <w:tc>
          <w:tcPr>
            <w:tcW w:w="480" w:type="dxa"/>
            <w:vAlign w:val="bottom"/>
            <w:tcBorders>
              <w:bottom w:val="single" w:sz="8" w:color="auto"/>
            </w:tcBorders>
          </w:tcPr>
          <w:p>
            <w:pPr>
              <w:jc w:val="right"/>
              <w:ind w:right="302"/>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2,470,000</w:t>
            </w:r>
          </w:p>
        </w:tc>
        <w:tc>
          <w:tcPr>
            <w:tcW w:w="10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1,059,853</w:t>
            </w:r>
          </w:p>
        </w:tc>
        <w:tc>
          <w:tcPr>
            <w:tcW w:w="10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16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_________________________________________</w:t>
            </w:r>
          </w:p>
        </w:tc>
        <w:tc>
          <w:tcPr>
            <w:tcW w:w="4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3"/>
        </w:trPr>
        <w:tc>
          <w:tcPr>
            <w:tcW w:w="4160" w:type="dxa"/>
            <w:vAlign w:val="bottom"/>
            <w:vMerge w:val="continue"/>
          </w:tcPr>
          <w:p>
            <w:pPr>
              <w:spacing w:after="0"/>
              <w:rPr>
                <w:sz w:val="21"/>
                <w:szCs w:val="21"/>
                <w:color w:val="auto"/>
              </w:rPr>
            </w:pPr>
          </w:p>
        </w:tc>
        <w:tc>
          <w:tcPr>
            <w:tcW w:w="4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140" w:type="dxa"/>
            <w:vAlign w:val="bottom"/>
          </w:tcPr>
          <w:p>
            <w:pPr>
              <w:spacing w:after="0"/>
              <w:rPr>
                <w:sz w:val="21"/>
                <w:szCs w:val="21"/>
                <w:color w:val="auto"/>
              </w:rPr>
            </w:pPr>
          </w:p>
        </w:tc>
        <w:tc>
          <w:tcPr>
            <w:tcW w:w="0" w:type="dxa"/>
            <w:vAlign w:val="bottom"/>
          </w:tcPr>
          <w:p>
            <w:pPr>
              <w:spacing w:after="0"/>
              <w:rPr>
                <w:sz w:val="1"/>
                <w:szCs w:val="1"/>
                <w:color w:val="auto"/>
              </w:rPr>
            </w:pPr>
          </w:p>
        </w:tc>
      </w:tr>
    </w:tbl>
    <w:p>
      <w:pPr>
        <w:ind w:left="320" w:hanging="312"/>
        <w:spacing w:after="0"/>
        <w:tabs>
          <w:tab w:leader="none" w:pos="320" w:val="left"/>
        </w:tabs>
        <w:numPr>
          <w:ilvl w:val="0"/>
          <w:numId w:val="4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facilities utilize Term SOFR at September 30, 2026.</w:t>
      </w:r>
    </w:p>
    <w:p>
      <w:pPr>
        <w:spacing w:after="0" w:line="151"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quarterly average unpaid principal balance (“UPB”), end of period UPB and the maximum UPB at any month-end related to our Master Repurchase Facilities and Bank Credit Facility (dollars in thousands):</w:t>
      </w:r>
    </w:p>
    <w:p>
      <w:pPr>
        <w:spacing w:after="0" w:line="7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340" w:type="dxa"/>
            <w:vAlign w:val="bottom"/>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Quarter Ended</w:t>
            </w:r>
          </w:p>
        </w:tc>
        <w:tc>
          <w:tcPr>
            <w:tcW w:w="160" w:type="dxa"/>
            <w:vAlign w:val="bottom"/>
          </w:tcPr>
          <w:p>
            <w:pPr>
              <w:spacing w:after="0"/>
              <w:rPr>
                <w:sz w:val="13"/>
                <w:szCs w:val="13"/>
                <w:color w:val="auto"/>
              </w:rPr>
            </w:pPr>
          </w:p>
        </w:tc>
        <w:tc>
          <w:tcPr>
            <w:tcW w:w="182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Quarterly Average UPB</w:t>
            </w:r>
          </w:p>
        </w:tc>
        <w:tc>
          <w:tcPr>
            <w:tcW w:w="240" w:type="dxa"/>
            <w:vAlign w:val="bottom"/>
          </w:tcPr>
          <w:p>
            <w:pPr>
              <w:spacing w:after="0"/>
              <w:rPr>
                <w:sz w:val="13"/>
                <w:szCs w:val="13"/>
                <w:color w:val="auto"/>
              </w:rPr>
            </w:pPr>
          </w:p>
        </w:tc>
        <w:tc>
          <w:tcPr>
            <w:tcW w:w="174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End of Period UPB</w:t>
            </w:r>
          </w:p>
        </w:tc>
        <w:tc>
          <w:tcPr>
            <w:tcW w:w="180" w:type="dxa"/>
            <w:vAlign w:val="bottom"/>
          </w:tcPr>
          <w:p>
            <w:pPr>
              <w:spacing w:after="0"/>
              <w:rPr>
                <w:sz w:val="13"/>
                <w:szCs w:val="13"/>
                <w:color w:val="auto"/>
              </w:rPr>
            </w:pPr>
          </w:p>
        </w:tc>
        <w:tc>
          <w:tcPr>
            <w:tcW w:w="1740" w:type="dxa"/>
            <w:vAlign w:val="bottom"/>
          </w:tcPr>
          <w:p>
            <w:pPr>
              <w:jc w:val="right"/>
              <w:ind w:right="183"/>
              <w:spacing w:after="0"/>
              <w:rPr>
                <w:sz w:val="20"/>
                <w:szCs w:val="20"/>
                <w:color w:val="auto"/>
              </w:rPr>
            </w:pPr>
            <w:r>
              <w:rPr>
                <w:rFonts w:ascii="Times New Roman" w:cs="Times New Roman" w:eastAsia="Times New Roman" w:hAnsi="Times New Roman"/>
                <w:sz w:val="14"/>
                <w:szCs w:val="14"/>
                <w:b w:val="1"/>
                <w:bCs w:val="1"/>
                <w:color w:val="auto"/>
              </w:rPr>
              <w:t>Maximum UPB at Any</w:t>
            </w:r>
          </w:p>
        </w:tc>
        <w:tc>
          <w:tcPr>
            <w:tcW w:w="0" w:type="dxa"/>
            <w:vAlign w:val="bottom"/>
          </w:tcPr>
          <w:p>
            <w:pPr>
              <w:spacing w:after="0"/>
              <w:rPr>
                <w:sz w:val="1"/>
                <w:szCs w:val="1"/>
                <w:color w:val="auto"/>
              </w:rPr>
            </w:pPr>
          </w:p>
        </w:tc>
      </w:tr>
      <w:tr>
        <w:trPr>
          <w:trHeight w:val="199"/>
        </w:trPr>
        <w:tc>
          <w:tcPr>
            <w:tcW w:w="5340" w:type="dxa"/>
            <w:vAlign w:val="bottom"/>
            <w:vMerge w:val="continue"/>
          </w:tcPr>
          <w:p>
            <w:pPr>
              <w:spacing w:after="0"/>
              <w:rPr>
                <w:sz w:val="17"/>
                <w:szCs w:val="17"/>
                <w:color w:val="auto"/>
              </w:rPr>
            </w:pPr>
          </w:p>
        </w:tc>
        <w:tc>
          <w:tcPr>
            <w:tcW w:w="160" w:type="dxa"/>
            <w:vAlign w:val="bottom"/>
          </w:tcPr>
          <w:p>
            <w:pPr>
              <w:spacing w:after="0"/>
              <w:rPr>
                <w:sz w:val="17"/>
                <w:szCs w:val="17"/>
                <w:color w:val="auto"/>
              </w:rPr>
            </w:pPr>
          </w:p>
        </w:tc>
        <w:tc>
          <w:tcPr>
            <w:tcW w:w="1820" w:type="dxa"/>
            <w:vAlign w:val="bottom"/>
            <w:gridSpan w:val="2"/>
            <w:vMerge w:val="continue"/>
          </w:tcPr>
          <w:p>
            <w:pPr>
              <w:spacing w:after="0"/>
              <w:rPr>
                <w:sz w:val="17"/>
                <w:szCs w:val="17"/>
                <w:color w:val="auto"/>
              </w:rPr>
            </w:pPr>
          </w:p>
        </w:tc>
        <w:tc>
          <w:tcPr>
            <w:tcW w:w="240" w:type="dxa"/>
            <w:vAlign w:val="bottom"/>
          </w:tcPr>
          <w:p>
            <w:pPr>
              <w:spacing w:after="0"/>
              <w:rPr>
                <w:sz w:val="17"/>
                <w:szCs w:val="17"/>
                <w:color w:val="auto"/>
              </w:rPr>
            </w:pPr>
          </w:p>
        </w:tc>
        <w:tc>
          <w:tcPr>
            <w:tcW w:w="1740" w:type="dxa"/>
            <w:vAlign w:val="bottom"/>
            <w:gridSpan w:val="2"/>
            <w:vMerge w:val="continue"/>
          </w:tcPr>
          <w:p>
            <w:pPr>
              <w:spacing w:after="0"/>
              <w:rPr>
                <w:sz w:val="17"/>
                <w:szCs w:val="17"/>
                <w:color w:val="auto"/>
              </w:rPr>
            </w:pPr>
          </w:p>
        </w:tc>
        <w:tc>
          <w:tcPr>
            <w:tcW w:w="180" w:type="dxa"/>
            <w:vAlign w:val="bottom"/>
          </w:tcPr>
          <w:p>
            <w:pPr>
              <w:spacing w:after="0"/>
              <w:rPr>
                <w:sz w:val="17"/>
                <w:szCs w:val="17"/>
                <w:color w:val="auto"/>
              </w:rPr>
            </w:pPr>
          </w:p>
        </w:tc>
        <w:tc>
          <w:tcPr>
            <w:tcW w:w="1740" w:type="dxa"/>
            <w:vAlign w:val="bottom"/>
          </w:tcPr>
          <w:p>
            <w:pPr>
              <w:jc w:val="right"/>
              <w:ind w:right="523"/>
              <w:spacing w:after="0"/>
              <w:rPr>
                <w:sz w:val="20"/>
                <w:szCs w:val="20"/>
                <w:color w:val="auto"/>
              </w:rPr>
            </w:pPr>
            <w:r>
              <w:rPr>
                <w:rFonts w:ascii="Times New Roman" w:cs="Times New Roman" w:eastAsia="Times New Roman" w:hAnsi="Times New Roman"/>
                <w:sz w:val="14"/>
                <w:szCs w:val="14"/>
                <w:b w:val="1"/>
                <w:bCs w:val="1"/>
                <w:color w:val="auto"/>
              </w:rPr>
              <w:t>Month-End</w:t>
            </w:r>
          </w:p>
        </w:tc>
        <w:tc>
          <w:tcPr>
            <w:tcW w:w="0" w:type="dxa"/>
            <w:vAlign w:val="bottom"/>
          </w:tcPr>
          <w:p>
            <w:pPr>
              <w:spacing w:after="0"/>
              <w:rPr>
                <w:sz w:val="1"/>
                <w:szCs w:val="1"/>
                <w:color w:val="auto"/>
              </w:rPr>
            </w:pPr>
          </w:p>
        </w:tc>
      </w:tr>
      <w:tr>
        <w:trPr>
          <w:trHeight w:val="226"/>
        </w:trPr>
        <w:tc>
          <w:tcPr>
            <w:tcW w:w="53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September 30, 2026</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740" w:type="dxa"/>
            <w:vAlign w:val="bottom"/>
            <w:tcBorders>
              <w:top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958,039</w:t>
            </w:r>
          </w:p>
        </w:tc>
        <w:tc>
          <w:tcPr>
            <w:tcW w:w="8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660" w:type="dxa"/>
            <w:vAlign w:val="bottom"/>
            <w:tcBorders>
              <w:top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1,059,853</w:t>
            </w:r>
          </w:p>
        </w:tc>
        <w:tc>
          <w:tcPr>
            <w:tcW w:w="8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740" w:type="dxa"/>
            <w:vAlign w:val="bottom"/>
            <w:tcBorders>
              <w:top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1,074,723</w:t>
            </w:r>
          </w:p>
        </w:tc>
        <w:tc>
          <w:tcPr>
            <w:tcW w:w="0" w:type="dxa"/>
            <w:vAlign w:val="bottom"/>
          </w:tcPr>
          <w:p>
            <w:pPr>
              <w:spacing w:after="0"/>
              <w:rPr>
                <w:sz w:val="1"/>
                <w:szCs w:val="1"/>
                <w:color w:val="auto"/>
              </w:rPr>
            </w:pPr>
          </w:p>
        </w:tc>
      </w:tr>
      <w:tr>
        <w:trPr>
          <w:trHeight w:val="226"/>
        </w:trPr>
        <w:tc>
          <w:tcPr>
            <w:tcW w:w="53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June 30, 2026</w:t>
            </w:r>
          </w:p>
        </w:tc>
        <w:tc>
          <w:tcPr>
            <w:tcW w:w="160" w:type="dxa"/>
            <w:vAlign w:val="bottom"/>
          </w:tcPr>
          <w:p>
            <w:pPr>
              <w:spacing w:after="0"/>
              <w:rPr>
                <w:sz w:val="19"/>
                <w:szCs w:val="19"/>
                <w:color w:val="auto"/>
              </w:rPr>
            </w:pPr>
          </w:p>
        </w:tc>
        <w:tc>
          <w:tcPr>
            <w:tcW w:w="174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814,276</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6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856,225</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4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926,225</w:t>
            </w:r>
          </w:p>
        </w:tc>
        <w:tc>
          <w:tcPr>
            <w:tcW w:w="0" w:type="dxa"/>
            <w:vAlign w:val="bottom"/>
          </w:tcPr>
          <w:p>
            <w:pPr>
              <w:spacing w:after="0"/>
              <w:rPr>
                <w:sz w:val="1"/>
                <w:szCs w:val="1"/>
                <w:color w:val="auto"/>
              </w:rPr>
            </w:pPr>
          </w:p>
        </w:tc>
      </w:tr>
      <w:tr>
        <w:trPr>
          <w:trHeight w:val="233"/>
        </w:trPr>
        <w:tc>
          <w:tcPr>
            <w:tcW w:w="5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March 31, 2026</w:t>
            </w:r>
          </w:p>
        </w:tc>
        <w:tc>
          <w:tcPr>
            <w:tcW w:w="160" w:type="dxa"/>
            <w:vAlign w:val="bottom"/>
            <w:shd w:val="clear" w:color="auto" w:fill="CCEEFF"/>
          </w:tcPr>
          <w:p>
            <w:pPr>
              <w:spacing w:after="0"/>
              <w:rPr>
                <w:sz w:val="20"/>
                <w:szCs w:val="20"/>
                <w:color w:val="auto"/>
              </w:rPr>
            </w:pPr>
          </w:p>
        </w:tc>
        <w:tc>
          <w:tcPr>
            <w:tcW w:w="174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925,213</w:t>
            </w:r>
          </w:p>
        </w:tc>
        <w:tc>
          <w:tcPr>
            <w:tcW w:w="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66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772,327</w:t>
            </w: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7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1,190,049</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39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December 31, 2025</w:t>
            </w:r>
          </w:p>
        </w:tc>
        <w:tc>
          <w:tcPr>
            <w:tcW w:w="3860" w:type="dxa"/>
            <w:vAlign w:val="bottom"/>
          </w:tcPr>
          <w:p>
            <w:pPr>
              <w:jc w:val="right"/>
              <w:ind w:right="599"/>
              <w:spacing w:after="0"/>
              <w:rPr>
                <w:sz w:val="20"/>
                <w:szCs w:val="20"/>
                <w:color w:val="auto"/>
              </w:rPr>
            </w:pPr>
            <w:r>
              <w:rPr>
                <w:rFonts w:ascii="Times New Roman" w:cs="Times New Roman" w:eastAsia="Times New Roman" w:hAnsi="Times New Roman"/>
                <w:sz w:val="16"/>
                <w:szCs w:val="16"/>
                <w:color w:val="auto"/>
              </w:rPr>
              <w:t>928,385</w:t>
            </w:r>
          </w:p>
        </w:tc>
        <w:tc>
          <w:tcPr>
            <w:tcW w:w="1980" w:type="dxa"/>
            <w:vAlign w:val="bottom"/>
          </w:tcPr>
          <w:p>
            <w:pPr>
              <w:jc w:val="right"/>
              <w:ind w:right="599"/>
              <w:spacing w:after="0"/>
              <w:rPr>
                <w:sz w:val="20"/>
                <w:szCs w:val="20"/>
                <w:color w:val="auto"/>
              </w:rPr>
            </w:pPr>
            <w:r>
              <w:rPr>
                <w:rFonts w:ascii="Times New Roman" w:cs="Times New Roman" w:eastAsia="Times New Roman" w:hAnsi="Times New Roman"/>
                <w:sz w:val="16"/>
                <w:szCs w:val="16"/>
                <w:color w:val="auto"/>
              </w:rPr>
              <w:t>1,078,098</w:t>
            </w: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1,078,098</w:t>
            </w:r>
          </w:p>
        </w:tc>
      </w:tr>
      <w:tr>
        <w:trPr>
          <w:trHeight w:val="232"/>
        </w:trPr>
        <w:tc>
          <w:tcPr>
            <w:tcW w:w="3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September 30, 2025</w:t>
            </w:r>
          </w:p>
        </w:tc>
        <w:tc>
          <w:tcPr>
            <w:tcW w:w="3860" w:type="dxa"/>
            <w:vAlign w:val="bottom"/>
            <w:shd w:val="clear" w:color="auto" w:fill="CCEEFF"/>
          </w:tcPr>
          <w:p>
            <w:pPr>
              <w:jc w:val="right"/>
              <w:ind w:right="599"/>
              <w:spacing w:after="0"/>
              <w:rPr>
                <w:sz w:val="20"/>
                <w:szCs w:val="20"/>
                <w:color w:val="auto"/>
              </w:rPr>
            </w:pPr>
            <w:r>
              <w:rPr>
                <w:rFonts w:ascii="Times New Roman" w:cs="Times New Roman" w:eastAsia="Times New Roman" w:hAnsi="Times New Roman"/>
                <w:sz w:val="16"/>
                <w:szCs w:val="16"/>
                <w:color w:val="auto"/>
              </w:rPr>
              <w:t>784,202</w:t>
            </w:r>
          </w:p>
        </w:tc>
        <w:tc>
          <w:tcPr>
            <w:tcW w:w="1980" w:type="dxa"/>
            <w:vAlign w:val="bottom"/>
            <w:shd w:val="clear" w:color="auto" w:fill="CCEEFF"/>
          </w:tcPr>
          <w:p>
            <w:pPr>
              <w:jc w:val="right"/>
              <w:ind w:right="599"/>
              <w:spacing w:after="0"/>
              <w:rPr>
                <w:sz w:val="20"/>
                <w:szCs w:val="20"/>
                <w:color w:val="auto"/>
              </w:rPr>
            </w:pPr>
            <w:r>
              <w:rPr>
                <w:rFonts w:ascii="Times New Roman" w:cs="Times New Roman" w:eastAsia="Times New Roman" w:hAnsi="Times New Roman"/>
                <w:sz w:val="16"/>
                <w:szCs w:val="16"/>
                <w:color w:val="auto"/>
              </w:rPr>
              <w:t>778,671</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823,583</w:t>
            </w:r>
          </w:p>
        </w:tc>
      </w:tr>
      <w:tr>
        <w:trPr>
          <w:trHeight w:val="227"/>
        </w:trPr>
        <w:tc>
          <w:tcPr>
            <w:tcW w:w="39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June 30, 2025</w:t>
            </w:r>
          </w:p>
        </w:tc>
        <w:tc>
          <w:tcPr>
            <w:tcW w:w="3860" w:type="dxa"/>
            <w:vAlign w:val="bottom"/>
          </w:tcPr>
          <w:p>
            <w:pPr>
              <w:jc w:val="right"/>
              <w:ind w:right="599"/>
              <w:spacing w:after="0"/>
              <w:rPr>
                <w:sz w:val="20"/>
                <w:szCs w:val="20"/>
                <w:color w:val="auto"/>
              </w:rPr>
            </w:pPr>
            <w:r>
              <w:rPr>
                <w:rFonts w:ascii="Times New Roman" w:cs="Times New Roman" w:eastAsia="Times New Roman" w:hAnsi="Times New Roman"/>
                <w:sz w:val="16"/>
                <w:szCs w:val="16"/>
                <w:color w:val="auto"/>
              </w:rPr>
              <w:t>761,613</w:t>
            </w:r>
          </w:p>
        </w:tc>
        <w:tc>
          <w:tcPr>
            <w:tcW w:w="1980" w:type="dxa"/>
            <w:vAlign w:val="bottom"/>
          </w:tcPr>
          <w:p>
            <w:pPr>
              <w:jc w:val="right"/>
              <w:ind w:right="599"/>
              <w:spacing w:after="0"/>
              <w:rPr>
                <w:sz w:val="20"/>
                <w:szCs w:val="20"/>
                <w:color w:val="auto"/>
              </w:rPr>
            </w:pPr>
            <w:r>
              <w:rPr>
                <w:rFonts w:ascii="Times New Roman" w:cs="Times New Roman" w:eastAsia="Times New Roman" w:hAnsi="Times New Roman"/>
                <w:sz w:val="16"/>
                <w:szCs w:val="16"/>
                <w:color w:val="auto"/>
              </w:rPr>
              <w:t>789,729</w:t>
            </w: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791,532</w:t>
            </w:r>
          </w:p>
        </w:tc>
      </w:tr>
      <w:tr>
        <w:trPr>
          <w:trHeight w:val="233"/>
        </w:trPr>
        <w:tc>
          <w:tcPr>
            <w:tcW w:w="3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March 31, 2025</w:t>
            </w:r>
          </w:p>
        </w:tc>
        <w:tc>
          <w:tcPr>
            <w:tcW w:w="3860" w:type="dxa"/>
            <w:vAlign w:val="bottom"/>
            <w:shd w:val="clear" w:color="auto" w:fill="CCEEFF"/>
          </w:tcPr>
          <w:p>
            <w:pPr>
              <w:jc w:val="right"/>
              <w:ind w:right="599"/>
              <w:spacing w:after="0"/>
              <w:rPr>
                <w:sz w:val="20"/>
                <w:szCs w:val="20"/>
                <w:color w:val="auto"/>
              </w:rPr>
            </w:pPr>
            <w:r>
              <w:rPr>
                <w:rFonts w:ascii="Times New Roman" w:cs="Times New Roman" w:eastAsia="Times New Roman" w:hAnsi="Times New Roman"/>
                <w:sz w:val="16"/>
                <w:szCs w:val="16"/>
                <w:color w:val="auto"/>
              </w:rPr>
              <w:t>759,339</w:t>
            </w:r>
          </w:p>
        </w:tc>
        <w:tc>
          <w:tcPr>
            <w:tcW w:w="1980" w:type="dxa"/>
            <w:vAlign w:val="bottom"/>
            <w:shd w:val="clear" w:color="auto" w:fill="CCEEFF"/>
          </w:tcPr>
          <w:p>
            <w:pPr>
              <w:jc w:val="right"/>
              <w:ind w:right="599"/>
              <w:spacing w:after="0"/>
              <w:rPr>
                <w:sz w:val="20"/>
                <w:szCs w:val="20"/>
                <w:color w:val="auto"/>
              </w:rPr>
            </w:pPr>
            <w:r>
              <w:rPr>
                <w:rFonts w:ascii="Times New Roman" w:cs="Times New Roman" w:eastAsia="Times New Roman" w:hAnsi="Times New Roman"/>
                <w:sz w:val="16"/>
                <w:szCs w:val="16"/>
                <w:color w:val="auto"/>
              </w:rPr>
              <w:t>733,494</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818,603</w:t>
            </w:r>
          </w:p>
        </w:tc>
      </w:tr>
    </w:tbl>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increase in our end of period UPB from June 30, 2026 to September 30, 2026 was driven by financing draws.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Securitizations</w:t>
      </w:r>
    </w:p>
    <w:p>
      <w:pPr>
        <w:spacing w:after="0" w:line="14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may seek to utilize non-recourse long-term securitizations of our investments in mortgage loans, especially loan originations, to the extent consistent with the maintenance of our REIT qualification and exclusion from the Investment Company Act in order to generate cash for funding new investments. This would involve conveying a pool of assets to a special purpose vehicle (or the issuing entity), which would issue one or more classes of non-recourse notes pursuant to the terms of an indenture. The notes would be secured by the pool of assets. In exchange for the transfer of assets to the issuing entity, we would receive the cash proceeds on the sale of non-recourse notes and a 100% interest in the equity of the issuing entity. The securitization of our portfolio investments might magnify our exposure to losses on those portfolio investments because any equity interest we retain in the issuing entity would be subordinate to the notes issued to investors and we would, therefore, absorb all of the losses sustained with respect to a securitized pool of assets before the owners of the notes experience any losses.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BRSP 2021-FL1</w:t>
      </w:r>
    </w:p>
    <w:p>
      <w:pPr>
        <w:spacing w:after="0" w:line="16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February 19, 2026, we redeemed the outstanding securities under the securitization vehicle operated through wholly-owned subsidiaries, BRSP 2021-FL1, Ltd and BRSP 2021-FL1, LLC (collectively, “BRSP 2021-FL1”) including the investment grade notes issued thereunder, at a redemption price of $310.7 million. The 17 senior loan investments, with an aggregate unpaid principal balance of $440.8 million, held by BRSP 2021-FL1 were refinanced by the issuance of securities under BRSP 2026-FL3 and with existing Master Repurchase Facilities.</w:t>
      </w:r>
    </w:p>
    <w:p>
      <w:pPr>
        <w:spacing w:after="0" w:line="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BRSP 2024-FL2</w:t>
      </w:r>
    </w:p>
    <w:p>
      <w:pPr>
        <w:spacing w:after="0" w:line="16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BRSP 2024-FL2 is a $675.0 million securitization vehicle operated through wholly-owned subsidiaries, BRSP 2024-FL2, Ltd. and BRSP 2024-FL2, LLC (collectively, “BRSP 2024-FL2”), which have issued $583.9 million of investment grade notes (the “2024-FL2 Notes”).</w:t>
      </w:r>
    </w:p>
    <w:p>
      <w:pPr>
        <w:spacing w:after="0" w:line="9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BRSP 2024-FL2 includes a two-year reinvestment feature that allows us to contribute existing or newly originated loan investments in exchange for proceeds from repayments of loans held in BRSP 2024-FL2, subject to the satisfaction of certain conditions set forth in the indenture. At September 30, 2026, we had $628.9 million of unpaid principal balance of CRE debt investments and other assets financed with BRSP 2024-FL2. As of September 30, 2026, the securitization reflects an advance rate of 85.5% at a weighted average cost of funds of Term SOFR plus 2.51% (before transaction costs), and is collateralized by a pool of 26 senior loan investments.</w:t>
      </w:r>
    </w:p>
    <w:p>
      <w:pPr>
        <w:spacing w:after="0" w:line="10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Additionally, BRSP 2024-FL2 contains note protection tests that can be triggered as a result of contributed loan defaults, losses, and certain other events outlined in the indenture, beyond established thresholds. A note protection test failure that is not remedied can result in the redirection of interest proceeds from the below investment grade tranches to amortize the most senior outstanding tranche. We did not fail any note protection tests during the nine months ended September 30, 2026. While we continue to closely monitor all loan investments contributed to BRSP 2024-FL2, a deterioration in the performance of an underlying loan could negatively impact its liquidity position.</w:t>
      </w:r>
    </w:p>
    <w:p>
      <w:pPr>
        <w:spacing w:after="0" w:line="11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October 19, 2026, we redeemed the outstanding securities under the BRSP 2024-FL2 securitization vehicle, including the investment grade notes issued thereunder, at a redemption price of $537.8 million.</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BRSP 2026-FL3</w:t>
      </w:r>
    </w:p>
    <w:p>
      <w:pPr>
        <w:spacing w:after="0" w:line="14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February 2026, we executed a $955.0 million securitization transaction through wholly-owned subsidiaries, BRSP 2026-FL3, Ltd. and BRSP 2026-FL3, LLC (collectively, “BRSP 2026-FL3”), which resulted in the sale of $833.2 million of investment grade notes (the “2026-FL3 Notes”).</w:t>
      </w:r>
    </w:p>
    <w:p>
      <w:pPr>
        <w:spacing w:after="0" w:line="9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BRSP 2026-FL3 includes a six-month ramp-up acquisition period that allows us to contribute existing or newly originated loan investments in exchange for $98.3 million in unused proceeds held in BRSP 2026-FL3, subject to the satisfaction of certain conditions set forth in the indenture. At September 30, 2026, the unused proceeds have been fully utilized. BRSP 2026-FL3 also includes a 30-month reinvestment feature that allows us to contribute existing or newly originated loan investments in</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exchange for proceeds from repayments of loans held in BRSP 2026-FL3, subject to the satisfaction of certain conditions set forth in the indenture.</w:t>
      </w:r>
    </w:p>
    <w:p>
      <w:pPr>
        <w:spacing w:after="0" w:line="14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At September 30, 2026, we had $955.0 million of unpaid principal balance of CRE debt investments financed with BRSP 2026-FL3. As of September 30, 2026, the securitization reflects an advance rate of 87.3% at a weighted average cost of funds of Term SOFR plus 1.69% (before transaction costs), and is collateralized by a pool of 32 senior loan investments.</w:t>
      </w:r>
    </w:p>
    <w:p>
      <w:pPr>
        <w:spacing w:after="0" w:line="10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Additionally, BRSP 2026-FL3 contains note protection tests that can be triggered as a result of contributed loan defaults, losses, and certain other events outlined in the indenture, beyond established thresholds. A note protection test failure that is not remedied can result in the redirection of interest proceeds from the below investment grade tranches to amortize the most senior outstanding tranche. We did not fail any note protection tests during the nine months ended September 30, 2026. While we continue to closely monitor all loan investments contributed to BRSP 2026-FL3, a deterioration in the performance of an underlying loan could negatively impact its liquidity position.</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BRSP 2026-FL4</w:t>
      </w:r>
    </w:p>
    <w:p>
      <w:pPr>
        <w:spacing w:after="0" w:line="14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October 16, 2026, we executed a $960.0 million securitization transaction through wholly-owned subsidiaries, BRSP 2026-FL4, Ltd. and BRSP 2026-FL4, LLC (collectively, “BRSP 2026-FL4”), which resulted in the sale of $844.8 million of investment grade notes (the “2026-FL4 Notes”). The securitization reflects an initial advance rate of 88.0% at a weighted average coupon at issuance of Term SOFR+1.54% (before transaction costs) and is collateralized by a pool of 29 first-lien floating-rate mortgages secured by 38 properties.</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potential sources of financing</w:t>
      </w:r>
    </w:p>
    <w:p>
      <w:pPr>
        <w:spacing w:after="0" w:line="16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the future, we may also use other sources of financing to fund the acquisition of our target assets, including secured and unsecured forms of borrowing and selective wind-down and dispositions of assets. We may also seek to raise equity capital or issue debt securities in order to fund our future investments.</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Liquidity Needs</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addition to our loan origination activity and general operating expenses, our primary liquidity needs include interest and principal payments under our Bank Credit Facility, securitization bonds, and secured debt. Information concerning our contractual obligations and commitments to make future payments, including our commitments to repay borrowings, is included in the following table as of September 30, 2026. This table excludes our obligations that are not fixed and determinable (dollars in thousands):</w:t>
      </w:r>
    </w:p>
    <w:p>
      <w:pPr>
        <w:spacing w:after="0" w:line="1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2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Payments Due by Period</w:t>
            </w:r>
          </w:p>
        </w:tc>
        <w:tc>
          <w:tcPr>
            <w:tcW w:w="3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80" w:type="dxa"/>
            <w:vAlign w:val="bottom"/>
          </w:tcPr>
          <w:p>
            <w:pPr>
              <w:spacing w:after="0"/>
              <w:rPr>
                <w:sz w:val="16"/>
                <w:szCs w:val="16"/>
                <w:color w:val="auto"/>
              </w:rPr>
            </w:pPr>
          </w:p>
        </w:tc>
      </w:tr>
      <w:tr>
        <w:trPr>
          <w:trHeight w:val="23"/>
        </w:trPr>
        <w:tc>
          <w:tcPr>
            <w:tcW w:w="328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gridSpan w:val="2"/>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186"/>
        </w:trPr>
        <w:tc>
          <w:tcPr>
            <w:tcW w:w="32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60" w:type="dxa"/>
            <w:vAlign w:val="bottom"/>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4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Less than a Year</w:t>
            </w:r>
          </w:p>
        </w:tc>
        <w:tc>
          <w:tcPr>
            <w:tcW w:w="280" w:type="dxa"/>
            <w:vAlign w:val="bottom"/>
          </w:tcPr>
          <w:p>
            <w:pPr>
              <w:spacing w:after="0"/>
              <w:rPr>
                <w:sz w:val="16"/>
                <w:szCs w:val="16"/>
                <w:color w:val="auto"/>
              </w:rPr>
            </w:pPr>
          </w:p>
        </w:tc>
        <w:tc>
          <w:tcPr>
            <w:tcW w:w="132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1-3 Years</w:t>
            </w:r>
          </w:p>
        </w:tc>
        <w:tc>
          <w:tcPr>
            <w:tcW w:w="300" w:type="dxa"/>
            <w:vAlign w:val="bottom"/>
          </w:tcPr>
          <w:p>
            <w:pPr>
              <w:spacing w:after="0"/>
              <w:rPr>
                <w:sz w:val="16"/>
                <w:szCs w:val="16"/>
                <w:color w:val="auto"/>
              </w:rPr>
            </w:pPr>
          </w:p>
        </w:tc>
        <w:tc>
          <w:tcPr>
            <w:tcW w:w="132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3-5 Years</w:t>
            </w:r>
          </w:p>
        </w:tc>
        <w:tc>
          <w:tcPr>
            <w:tcW w:w="140" w:type="dxa"/>
            <w:vAlign w:val="bottom"/>
          </w:tcPr>
          <w:p>
            <w:pPr>
              <w:spacing w:after="0"/>
              <w:rPr>
                <w:sz w:val="16"/>
                <w:szCs w:val="16"/>
                <w:color w:val="auto"/>
              </w:rPr>
            </w:pPr>
          </w:p>
        </w:tc>
        <w:tc>
          <w:tcPr>
            <w:tcW w:w="1380" w:type="dxa"/>
            <w:vAlign w:val="bottom"/>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More than 5 Years</w:t>
            </w:r>
          </w:p>
        </w:tc>
      </w:tr>
      <w:tr>
        <w:trPr>
          <w:trHeight w:val="23"/>
        </w:trPr>
        <w:tc>
          <w:tcPr>
            <w:tcW w:w="32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23"/>
        </w:trPr>
        <w:tc>
          <w:tcPr>
            <w:tcW w:w="3280" w:type="dxa"/>
            <w:vAlign w:val="bottom"/>
            <w:shd w:val="clear" w:color="auto" w:fill="CCEEFF"/>
          </w:tcPr>
          <w:p>
            <w:pPr>
              <w:ind w:left="20"/>
              <w:spacing w:after="0" w:line="223" w:lineRule="exact"/>
              <w:rPr>
                <w:sz w:val="20"/>
                <w:szCs w:val="20"/>
                <w:color w:val="auto"/>
              </w:rPr>
            </w:pPr>
            <w:r>
              <w:rPr>
                <w:rFonts w:ascii="Times New Roman" w:cs="Times New Roman" w:eastAsia="Times New Roman" w:hAnsi="Times New Roman"/>
                <w:sz w:val="16"/>
                <w:szCs w:val="16"/>
                <w:color w:val="auto"/>
              </w:rPr>
              <w:t>Bank credit facility</w:t>
            </w:r>
            <w:r>
              <w:rPr>
                <w:rFonts w:ascii="Times New Roman" w:cs="Times New Roman" w:eastAsia="Times New Roman" w:hAnsi="Times New Roman"/>
                <w:sz w:val="21"/>
                <w:szCs w:val="21"/>
                <w:color w:val="auto"/>
                <w:vertAlign w:val="superscript"/>
              </w:rPr>
              <w:t>(1)</w:t>
            </w:r>
          </w:p>
        </w:tc>
        <w:tc>
          <w:tcPr>
            <w:tcW w:w="36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50,547</w:t>
            </w:r>
          </w:p>
        </w:tc>
        <w:tc>
          <w:tcPr>
            <w:tcW w:w="2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2,774</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47,773</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30"/>
        </w:trPr>
        <w:tc>
          <w:tcPr>
            <w:tcW w:w="3280" w:type="dxa"/>
            <w:vAlign w:val="bottom"/>
          </w:tcPr>
          <w:p>
            <w:pPr>
              <w:ind w:left="20"/>
              <w:spacing w:after="0" w:line="230" w:lineRule="exact"/>
              <w:rPr>
                <w:sz w:val="20"/>
                <w:szCs w:val="20"/>
                <w:color w:val="auto"/>
              </w:rPr>
            </w:pPr>
            <w:r>
              <w:rPr>
                <w:rFonts w:ascii="Times New Roman" w:cs="Times New Roman" w:eastAsia="Times New Roman" w:hAnsi="Times New Roman"/>
                <w:sz w:val="16"/>
                <w:szCs w:val="16"/>
                <w:color w:val="auto"/>
              </w:rPr>
              <w:t>Secured debt</w:t>
            </w:r>
            <w:r>
              <w:rPr>
                <w:rFonts w:ascii="Times New Roman" w:cs="Times New Roman" w:eastAsia="Times New Roman" w:hAnsi="Times New Roman"/>
                <w:sz w:val="21"/>
                <w:szCs w:val="21"/>
                <w:color w:val="auto"/>
                <w:vertAlign w:val="superscript"/>
              </w:rPr>
              <w:t>(2)</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1,351,208</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609,052</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742,156</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30"/>
        </w:trPr>
        <w:tc>
          <w:tcPr>
            <w:tcW w:w="328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6"/>
                <w:szCs w:val="16"/>
                <w:color w:val="auto"/>
              </w:rPr>
              <w:t>Securitization bonds payable</w:t>
            </w:r>
            <w:r>
              <w:rPr>
                <w:rFonts w:ascii="Times New Roman" w:cs="Times New Roman" w:eastAsia="Times New Roman" w:hAnsi="Times New Roman"/>
                <w:sz w:val="21"/>
                <w:szCs w:val="21"/>
                <w:color w:val="auto"/>
                <w:vertAlign w:val="superscript"/>
              </w:rPr>
              <w:t>(3)</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1,494,861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740,123</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754,738</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30"/>
        </w:trPr>
        <w:tc>
          <w:tcPr>
            <w:tcW w:w="3280" w:type="dxa"/>
            <w:vAlign w:val="bottom"/>
          </w:tcPr>
          <w:p>
            <w:pPr>
              <w:ind w:left="20"/>
              <w:spacing w:after="0" w:line="230" w:lineRule="exact"/>
              <w:rPr>
                <w:sz w:val="20"/>
                <w:szCs w:val="20"/>
                <w:color w:val="auto"/>
              </w:rPr>
            </w:pPr>
            <w:r>
              <w:rPr>
                <w:rFonts w:ascii="Times New Roman" w:cs="Times New Roman" w:eastAsia="Times New Roman" w:hAnsi="Times New Roman"/>
                <w:sz w:val="16"/>
                <w:szCs w:val="16"/>
                <w:color w:val="auto"/>
              </w:rPr>
              <w:t>Ground lease obligations</w:t>
            </w:r>
            <w:r>
              <w:rPr>
                <w:rFonts w:ascii="Times New Roman" w:cs="Times New Roman" w:eastAsia="Times New Roman" w:hAnsi="Times New Roman"/>
                <w:sz w:val="21"/>
                <w:szCs w:val="21"/>
                <w:color w:val="auto"/>
                <w:vertAlign w:val="superscript"/>
              </w:rPr>
              <w:t>(4)</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9,956</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2,174</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4,450</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2,848</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484</w:t>
            </w:r>
          </w:p>
        </w:tc>
      </w:tr>
      <w:tr>
        <w:trPr>
          <w:trHeight w:val="226"/>
        </w:trPr>
        <w:tc>
          <w:tcPr>
            <w:tcW w:w="3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Office leases</w:t>
            </w: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3,400</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1,198</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2,057</w:t>
            </w:r>
          </w:p>
        </w:tc>
        <w:tc>
          <w:tcPr>
            <w:tcW w:w="8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145</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23"/>
        </w:trPr>
        <w:tc>
          <w:tcPr>
            <w:tcW w:w="3280" w:type="dxa"/>
            <w:vAlign w:val="bottom"/>
          </w:tcPr>
          <w:p>
            <w:pPr>
              <w:spacing w:after="0"/>
              <w:rPr>
                <w:sz w:val="19"/>
                <w:szCs w:val="19"/>
                <w:color w:val="auto"/>
              </w:rPr>
            </w:pPr>
          </w:p>
        </w:tc>
        <w:tc>
          <w:tcPr>
            <w:tcW w:w="36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2,909,972</w:t>
            </w:r>
          </w:p>
        </w:tc>
        <w:tc>
          <w:tcPr>
            <w:tcW w:w="2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1,355,321</w:t>
            </w:r>
          </w:p>
        </w:tc>
        <w:tc>
          <w:tcPr>
            <w:tcW w:w="100" w:type="dxa"/>
            <w:vAlign w:val="bottom"/>
          </w:tcPr>
          <w:p>
            <w:pPr>
              <w:spacing w:after="0"/>
              <w:rPr>
                <w:sz w:val="19"/>
                <w:szCs w:val="19"/>
                <w:color w:val="auto"/>
              </w:rPr>
            </w:pPr>
          </w:p>
        </w:tc>
        <w:tc>
          <w:tcPr>
            <w:tcW w:w="2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1,551,174</w:t>
            </w:r>
          </w:p>
        </w:tc>
        <w:tc>
          <w:tcPr>
            <w:tcW w:w="80" w:type="dxa"/>
            <w:vAlign w:val="bottom"/>
          </w:tcPr>
          <w:p>
            <w:pPr>
              <w:spacing w:after="0"/>
              <w:rPr>
                <w:sz w:val="19"/>
                <w:szCs w:val="19"/>
                <w:color w:val="auto"/>
              </w:rPr>
            </w:pPr>
          </w:p>
        </w:tc>
        <w:tc>
          <w:tcPr>
            <w:tcW w:w="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2,993</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484</w:t>
            </w:r>
          </w:p>
        </w:tc>
      </w:tr>
      <w:tr>
        <w:trPr>
          <w:trHeight w:val="226"/>
        </w:trPr>
        <w:tc>
          <w:tcPr>
            <w:tcW w:w="3280" w:type="dxa"/>
            <w:vAlign w:val="bottom"/>
            <w:tcBorders>
              <w:top w:val="single" w:sz="8" w:color="CCEEFF"/>
            </w:tcBorders>
            <w:shd w:val="clear" w:color="auto" w:fill="CCEEFF"/>
          </w:tcPr>
          <w:p>
            <w:pPr>
              <w:ind w:left="20"/>
              <w:spacing w:after="0" w:line="226" w:lineRule="exact"/>
              <w:rPr>
                <w:sz w:val="20"/>
                <w:szCs w:val="20"/>
                <w:color w:val="auto"/>
              </w:rPr>
            </w:pPr>
            <w:r>
              <w:rPr>
                <w:rFonts w:ascii="Times New Roman" w:cs="Times New Roman" w:eastAsia="Times New Roman" w:hAnsi="Times New Roman"/>
                <w:sz w:val="16"/>
                <w:szCs w:val="16"/>
                <w:color w:val="auto"/>
              </w:rPr>
              <w:t>Lending commitments</w:t>
            </w:r>
            <w:r>
              <w:rPr>
                <w:rFonts w:ascii="Times New Roman" w:cs="Times New Roman" w:eastAsia="Times New Roman" w:hAnsi="Times New Roman"/>
                <w:sz w:val="21"/>
                <w:szCs w:val="21"/>
                <w:color w:val="auto"/>
                <w:vertAlign w:val="superscript"/>
              </w:rPr>
              <w:t>(5)</w:t>
            </w:r>
          </w:p>
        </w:tc>
        <w:tc>
          <w:tcPr>
            <w:tcW w:w="360" w:type="dxa"/>
            <w:vAlign w:val="bottom"/>
            <w:tcBorders>
              <w:top w:val="single" w:sz="8" w:color="auto"/>
              <w:bottom w:val="single" w:sz="8" w:color="auto"/>
            </w:tcBorders>
            <w:shd w:val="clear" w:color="auto" w:fill="CCEEFF"/>
          </w:tcPr>
          <w:p>
            <w:pPr>
              <w:spacing w:after="0"/>
              <w:rPr>
                <w:sz w:val="19"/>
                <w:szCs w:val="19"/>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145,217</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134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spacing w:after="0"/>
              <w:rPr>
                <w:sz w:val="19"/>
                <w:szCs w:val="19"/>
                <w:color w:val="auto"/>
              </w:rPr>
            </w:pPr>
          </w:p>
        </w:tc>
        <w:tc>
          <w:tcPr>
            <w:tcW w:w="124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spacing w:after="0"/>
              <w:rPr>
                <w:sz w:val="19"/>
                <w:szCs w:val="19"/>
                <w:color w:val="auto"/>
              </w:rPr>
            </w:pPr>
          </w:p>
        </w:tc>
        <w:tc>
          <w:tcPr>
            <w:tcW w:w="12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1380" w:type="dxa"/>
            <w:vAlign w:val="bottom"/>
            <w:tcBorders>
              <w:top w:val="single" w:sz="8" w:color="auto"/>
            </w:tcBorders>
            <w:shd w:val="clear" w:color="auto" w:fill="CCEEFF"/>
          </w:tcPr>
          <w:p>
            <w:pPr>
              <w:spacing w:after="0"/>
              <w:rPr>
                <w:sz w:val="19"/>
                <w:szCs w:val="19"/>
                <w:color w:val="auto"/>
              </w:rPr>
            </w:pPr>
          </w:p>
        </w:tc>
      </w:tr>
      <w:tr>
        <w:trPr>
          <w:trHeight w:val="223"/>
        </w:trPr>
        <w:tc>
          <w:tcPr>
            <w:tcW w:w="32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w:t>
            </w:r>
          </w:p>
        </w:tc>
        <w:tc>
          <w:tcPr>
            <w:tcW w:w="36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3,055,189</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80" w:type="dxa"/>
            <w:vAlign w:val="bottom"/>
          </w:tcPr>
          <w:p>
            <w:pPr>
              <w:spacing w:after="0"/>
              <w:rPr>
                <w:sz w:val="19"/>
                <w:szCs w:val="19"/>
                <w:color w:val="auto"/>
              </w:rPr>
            </w:pPr>
          </w:p>
        </w:tc>
      </w:tr>
      <w:tr>
        <w:trPr>
          <w:trHeight w:val="20"/>
        </w:trPr>
        <w:tc>
          <w:tcPr>
            <w:tcW w:w="32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r>
    </w:tbl>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_________________________________________</w:t>
      </w:r>
    </w:p>
    <w:p>
      <w:pPr>
        <w:spacing w:after="0" w:line="17" w:lineRule="exact"/>
        <w:rPr>
          <w:sz w:val="20"/>
          <w:szCs w:val="20"/>
          <w:color w:val="auto"/>
        </w:rPr>
      </w:pPr>
    </w:p>
    <w:p>
      <w:pPr>
        <w:ind w:left="380" w:hanging="372"/>
        <w:spacing w:after="0" w:line="259" w:lineRule="auto"/>
        <w:tabs>
          <w:tab w:leader="none" w:pos="372" w:val="left"/>
        </w:tabs>
        <w:numPr>
          <w:ilvl w:val="0"/>
          <w:numId w:val="4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Future interest payments were estimated based on the applicable index at September 30, 2026 and unused commitment fee of 0.25% per annum, assuming principal is repaid on the current maturity date of January 2027.</w:t>
      </w:r>
    </w:p>
    <w:p>
      <w:pPr>
        <w:ind w:left="380" w:hanging="372"/>
        <w:spacing w:after="0" w:line="261" w:lineRule="auto"/>
        <w:tabs>
          <w:tab w:leader="none" w:pos="372" w:val="left"/>
        </w:tabs>
        <w:numPr>
          <w:ilvl w:val="0"/>
          <w:numId w:val="4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Amounts include minimum principal and interest obligations through the initial maturity date of the collateral assets. Interest on floating rate debt was determined based on Term SOFR at September 30, 2026.</w:t>
      </w:r>
    </w:p>
    <w:p>
      <w:pPr>
        <w:ind w:left="380" w:right="20" w:hanging="372"/>
        <w:spacing w:after="0" w:line="251" w:lineRule="auto"/>
        <w:tabs>
          <w:tab w:leader="none" w:pos="372" w:val="left"/>
        </w:tabs>
        <w:numPr>
          <w:ilvl w:val="0"/>
          <w:numId w:val="4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timing of future principal payments was estimated based on expected future cash flows of underlying collateral loans. Repayments are estimated to be earlier than contractual maturity only if proceeds from underlying loans are repaid by the borrowers.</w:t>
      </w:r>
    </w:p>
    <w:p>
      <w:pPr>
        <w:ind w:left="380" w:hanging="372"/>
        <w:spacing w:after="0" w:line="261" w:lineRule="auto"/>
        <w:tabs>
          <w:tab w:leader="none" w:pos="372" w:val="left"/>
        </w:tabs>
        <w:numPr>
          <w:ilvl w:val="0"/>
          <w:numId w:val="4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amounts represent minimum future base rent commitments through initial expiration dates of the respective noncancellable operating ground leases, excluding any contingent rent payments. Rents paid under ground leases are recoverable from tenants.</w:t>
      </w:r>
    </w:p>
    <w:p>
      <w:pPr>
        <w:ind w:left="380" w:hanging="372"/>
        <w:spacing w:after="0" w:line="283" w:lineRule="auto"/>
        <w:tabs>
          <w:tab w:leader="none" w:pos="372" w:val="left"/>
        </w:tabs>
        <w:numPr>
          <w:ilvl w:val="0"/>
          <w:numId w:val="4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Future lending commitments may be subject to certain conditions that borrowers must meet to qualify for such fundings. Commitment amount assumes future fundings meet the terms to qualify for such fundings.</w:t>
      </w:r>
    </w:p>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Share Repurchases</w:t>
      </w:r>
    </w:p>
    <w:p>
      <w:pPr>
        <w:spacing w:after="0" w:line="16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April 2026, our board of directors authorized a stock repurchase program (“Stock Repurchase Program”) under which we may repurchase up to $50.0 million of our outstanding Class A common stock until April 30, 2027. The Stock Repurchase Program replaced the prior stock repurchase program authorization which expired on April 30, 2026. Under the Stock</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Repurchase Program, we may repurchase shares in open market purchases, in privately negotiated transactions or otherwise. We have a written trading plan as part of the Share Repurchase Program that provides for share repurchases in open market transactions that is intended to comply with Rule 10b-18 under the Exchange Act. The Stock Repurchase Program will be utilized at our discretion and in accordance with the requirements of the SEC. The timing and actual number of shares repurchased will depend on a variety of factors including price, corporate requirements and other conditions.</w:t>
      </w:r>
    </w:p>
    <w:p>
      <w:pPr>
        <w:spacing w:after="0" w:line="9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the nine months ended September 30, 2026, we repurchased 5.6 million shares of Class A common stock at a weighted average price of $5.23 per share for an aggregate cost of $29.5 million. As of September 30, 2026, there was $20.5 million remaining available to make repurchases under the Stock Repurchase Program.</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Flows</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presents a summary of our consolidated statements of cash flows for the nine months ended September 30, 2026 and 2025 (dollars in thousands):</w:t>
      </w:r>
    </w:p>
    <w:p>
      <w:pPr>
        <w:spacing w:after="0" w:line="7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0" w:type="dxa"/>
            <w:vAlign w:val="bottom"/>
          </w:tcPr>
          <w:p>
            <w:pPr>
              <w:spacing w:after="0"/>
              <w:rPr>
                <w:sz w:val="16"/>
                <w:szCs w:val="16"/>
                <w:color w:val="auto"/>
              </w:rPr>
            </w:pPr>
          </w:p>
        </w:tc>
        <w:tc>
          <w:tcPr>
            <w:tcW w:w="2260" w:type="dxa"/>
            <w:vAlign w:val="bottom"/>
          </w:tcPr>
          <w:p>
            <w:pPr>
              <w:spacing w:after="0"/>
              <w:rPr>
                <w:sz w:val="16"/>
                <w:szCs w:val="16"/>
                <w:color w:val="auto"/>
              </w:rPr>
            </w:pPr>
          </w:p>
        </w:tc>
        <w:tc>
          <w:tcPr>
            <w:tcW w:w="46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960" w:type="dxa"/>
            <w:vAlign w:val="bottom"/>
            <w:gridSpan w:val="6"/>
          </w:tcPr>
          <w:p>
            <w:pPr>
              <w:jc w:val="right"/>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6940" w:type="dxa"/>
            <w:vAlign w:val="bottom"/>
            <w:gridSpan w:val="2"/>
            <w:vMerge w:val="restart"/>
          </w:tcPr>
          <w:p>
            <w:pPr>
              <w:spacing w:after="0"/>
              <w:rPr>
                <w:sz w:val="20"/>
                <w:szCs w:val="20"/>
                <w:color w:val="auto"/>
              </w:rPr>
            </w:pPr>
            <w:r>
              <w:rPr>
                <w:rFonts w:ascii="Times New Roman" w:cs="Times New Roman" w:eastAsia="Times New Roman" w:hAnsi="Times New Roman"/>
                <w:sz w:val="16"/>
                <w:szCs w:val="16"/>
                <w:b w:val="1"/>
                <w:bCs w:val="1"/>
                <w:color w:val="auto"/>
              </w:rPr>
              <w:t>Cash flow provided by (used in):</w:t>
            </w: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6940" w:type="dxa"/>
            <w:vAlign w:val="bottom"/>
            <w:gridSpan w:val="2"/>
            <w:vMerge w:val="continue"/>
          </w:tcPr>
          <w:p>
            <w:pPr>
              <w:spacing w:after="0"/>
              <w:rPr>
                <w:sz w:val="14"/>
                <w:szCs w:val="14"/>
                <w:color w:val="auto"/>
              </w:rPr>
            </w:pPr>
          </w:p>
        </w:tc>
        <w:tc>
          <w:tcPr>
            <w:tcW w:w="320" w:type="dxa"/>
            <w:vAlign w:val="bottom"/>
          </w:tcPr>
          <w:p>
            <w:pPr>
              <w:spacing w:after="0"/>
              <w:rPr>
                <w:sz w:val="14"/>
                <w:szCs w:val="14"/>
                <w:color w:val="auto"/>
              </w:rPr>
            </w:pPr>
          </w:p>
        </w:tc>
        <w:tc>
          <w:tcPr>
            <w:tcW w:w="1040" w:type="dxa"/>
            <w:vAlign w:val="bottom"/>
          </w:tcPr>
          <w:p>
            <w:pPr>
              <w:jc w:val="right"/>
              <w:ind w:right="463"/>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40" w:type="dxa"/>
            <w:vAlign w:val="bottom"/>
          </w:tcPr>
          <w:p>
            <w:pPr>
              <w:jc w:val="right"/>
              <w:ind w:right="461"/>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0" w:type="dxa"/>
            <w:vAlign w:val="bottom"/>
          </w:tcPr>
          <w:p>
            <w:pPr>
              <w:jc w:val="right"/>
              <w:ind w:right="361"/>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2260" w:type="dxa"/>
            <w:vAlign w:val="bottom"/>
            <w:tcBorders>
              <w:top w:val="single" w:sz="8" w:color="auto"/>
              <w:bottom w:val="single" w:sz="8" w:color="CCEEFF"/>
            </w:tcBorders>
          </w:tcPr>
          <w:p>
            <w:pPr>
              <w:spacing w:after="0" w:line="20" w:lineRule="exact"/>
              <w:rPr>
                <w:sz w:val="1"/>
                <w:szCs w:val="1"/>
                <w:color w:val="auto"/>
              </w:rPr>
            </w:pPr>
          </w:p>
        </w:tc>
        <w:tc>
          <w:tcPr>
            <w:tcW w:w="46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69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Operating activities</w:t>
            </w:r>
          </w:p>
        </w:tc>
        <w:tc>
          <w:tcPr>
            <w:tcW w:w="32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56,989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57,800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(811)</w:t>
            </w: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69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Investing activities</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(311,499)</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(88,066)</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(223,433)</w:t>
            </w:r>
          </w:p>
        </w:tc>
        <w:tc>
          <w:tcPr>
            <w:tcW w:w="0" w:type="dxa"/>
            <w:vAlign w:val="bottom"/>
          </w:tcPr>
          <w:p>
            <w:pPr>
              <w:spacing w:after="0"/>
              <w:rPr>
                <w:sz w:val="1"/>
                <w:szCs w:val="1"/>
                <w:color w:val="auto"/>
              </w:rPr>
            </w:pPr>
          </w:p>
        </w:tc>
      </w:tr>
      <w:tr>
        <w:trPr>
          <w:trHeight w:val="233"/>
        </w:trPr>
        <w:tc>
          <w:tcPr>
            <w:tcW w:w="20" w:type="dxa"/>
            <w:vAlign w:val="bottom"/>
            <w:shd w:val="clear" w:color="auto" w:fill="CCEEFF"/>
          </w:tcPr>
          <w:p>
            <w:pPr>
              <w:spacing w:after="0"/>
              <w:rPr>
                <w:sz w:val="20"/>
                <w:szCs w:val="20"/>
                <w:color w:val="auto"/>
              </w:rPr>
            </w:pPr>
          </w:p>
        </w:tc>
        <w:tc>
          <w:tcPr>
            <w:tcW w:w="69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Financing activities</w:t>
            </w:r>
          </w:p>
        </w:tc>
        <w:tc>
          <w:tcPr>
            <w:tcW w:w="32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258,272</w:t>
            </w: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(198,683)</w:t>
            </w: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456,955</w:t>
            </w:r>
          </w:p>
        </w:tc>
        <w:tc>
          <w:tcPr>
            <w:tcW w:w="0" w:type="dxa"/>
            <w:vAlign w:val="bottom"/>
          </w:tcPr>
          <w:p>
            <w:pPr>
              <w:spacing w:after="0"/>
              <w:rPr>
                <w:sz w:val="1"/>
                <w:szCs w:val="1"/>
                <w:color w:val="auto"/>
              </w:rPr>
            </w:pPr>
          </w:p>
        </w:tc>
      </w:tr>
    </w:tbl>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Activities</w:t>
      </w:r>
    </w:p>
    <w:p>
      <w:pPr>
        <w:spacing w:after="0" w:line="14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Cash inflows from operating activities are generated primarily through interest received from loans and preferred equity held for investment, and property operating income from our real estate portfolio. This is partially offset by payment of interest expenses for master repurchase and credit facilities and mortgages payable, and operating expenses supporting our various lines of business, including property management and operations, loan servicing and workout of loans in default, investment transaction costs, as well as general administrative costs.</w:t>
      </w:r>
    </w:p>
    <w:p>
      <w:pPr>
        <w:spacing w:after="0" w:line="11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operating activities provided net cash inflows of $57.0 million and $57.8 million for the nine months ended September 30, 2026 and 2025, respectively. Net cash provided by operating activities decreased for the nine months ended September 30, 2026 compared to the nine months ended September 30, 2025 primarily due to resolutions on net lease office properties offset by higher expenses on real estate acquisitions.</w:t>
      </w:r>
    </w:p>
    <w:p>
      <w:pPr>
        <w:spacing w:after="0" w:line="10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believe cash flows from operations, available cash balances and our ability to generate cash through short and long-term borrowings are sufficient to fund our operating liquidity needs.</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Investing Activities</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Investing activities include cash outlays for disbursements on new and/or existing loans, which are partially offset by repayments of loans held for investment.</w:t>
      </w:r>
    </w:p>
    <w:p>
      <w:pPr>
        <w:spacing w:after="0" w:line="9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Investing activities used net cash of $311.5 million for the nine months ended September 30, 2026. Net cash used in investing activities during the nine months ended September 30, 2026 resulted primarily from origination and fundings on our loans and preferred equity held for investment, net of $835.0 million, partially offset by repayments on loans and preferred equity held for investment, net of $372.1 million and proceeds from the sale of real estate of $148.6 million.</w:t>
      </w:r>
    </w:p>
    <w:p>
      <w:pPr>
        <w:spacing w:after="0" w:line="9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Investing activities used net cash inflows of $88.1 million for the nine months ended September 30, 2025. Net cash used in investing activities for the nine months ended September 30, 2025 resulted primarily from origination and fundings on our loans and preferred equity held for investment, net of $356.6 million, partially offset by repayments on loans and preferred equity held for investment, net of $243.6 million and proceeds from the sale of real estate $39.6 million.</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Financing Activities</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finance our investing activities largely through borrowings secured by our investments along with capital from third party investors. We also have the ability to raise capital in the public markets through issuances of common stock, as well as draws upon our corporate credit facility and master repurchase facilities, to finance our investing and operating activities. Accordingly, we incur cash outlays for payments on third party debt and dividends to our common stockholders.</w:t>
      </w:r>
    </w:p>
    <w:p>
      <w:pPr>
        <w:spacing w:after="0" w:line="9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Financing activities generated net cash of $258.3 million for the nine months ended September 30, 2026, which resulted primarily from borrowings from master repurchase and credit facilities of $1.2 billion and borrowings from securitization bonds of $833.2 million, partially offset by repayment of master repurchase and credit facilities of $1.3 billion, repayment of securitization bonds of $444.3 million and distributions paid on common stock of $63.0 million.</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75" w:name="page76"/>
    <w:bookmarkEnd w:id="7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Financing activities used net cash of $198.7 million for the nine months ended September 30, 2025, which resulted primarily from repayment of master repurchase and credit facilities of $235.8 million, repayment of securitization bonds of $111.7 million and distributions paid on common stock of $62.4 million, partially offset by borrowings from master repurchase and credit facilities of $229.3 million.</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Investment Strategy</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objective is to generate consistent and attractive risk-adjusted returns to our stockholders. We seek to achieve this objective primarily through cash distributions and the preservation of invested capital. We believe our investment strategy provides flexibility through economic cycles to achieve attractive risk-adjusted returns. This approach is driven by a disciplined investment strategy, focused on:</w:t>
      </w:r>
    </w:p>
    <w:p>
      <w:pPr>
        <w:spacing w:after="0" w:line="108" w:lineRule="exact"/>
        <w:rPr>
          <w:sz w:val="20"/>
          <w:szCs w:val="20"/>
          <w:color w:val="auto"/>
        </w:rPr>
      </w:pPr>
    </w:p>
    <w:p>
      <w:pPr>
        <w:ind w:left="660" w:hanging="328"/>
        <w:spacing w:after="0"/>
        <w:tabs>
          <w:tab w:leader="none" w:pos="66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leveraging long standing relationships, our organizational structure and the experience of our team;</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underlying real estate and market dynamics to identify investments with attractive risk-return profiles;</w:t>
      </w:r>
    </w:p>
    <w:p>
      <w:pPr>
        <w:spacing w:after="0" w:line="9" w:lineRule="exact"/>
        <w:rPr>
          <w:rFonts w:ascii="Times New Roman" w:cs="Times New Roman" w:eastAsia="Times New Roman" w:hAnsi="Times New Roman"/>
          <w:sz w:val="18"/>
          <w:szCs w:val="18"/>
          <w:color w:val="auto"/>
        </w:rPr>
      </w:pPr>
    </w:p>
    <w:p>
      <w:pPr>
        <w:jc w:val="both"/>
        <w:ind w:left="660" w:hanging="328"/>
        <w:spacing w:after="0" w:line="250" w:lineRule="auto"/>
        <w:tabs>
          <w:tab w:leader="none" w:pos="655"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primarily originating and structuring CRE senior loans and selective investments in mezzanine loans and preferred equity with attractive return profiles relative to the underlying value and financial operating performance of the real estate collateral, given the strength and quality of the sponsorship;</w:t>
      </w:r>
    </w:p>
    <w:p>
      <w:pPr>
        <w:spacing w:after="0" w:line="1" w:lineRule="exact"/>
        <w:rPr>
          <w:rFonts w:ascii="Times New Roman" w:cs="Times New Roman" w:eastAsia="Times New Roman" w:hAnsi="Times New Roman"/>
          <w:sz w:val="18"/>
          <w:szCs w:val="18"/>
          <w:color w:val="auto"/>
        </w:rPr>
      </w:pPr>
    </w:p>
    <w:p>
      <w:pPr>
        <w:ind w:left="660" w:hanging="328"/>
        <w:spacing w:after="0" w:line="250" w:lineRule="auto"/>
        <w:tabs>
          <w:tab w:leader="none" w:pos="655"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structuring transactions with a prudent amount of leverage, if any, given the risk of the underlying asset’s cash flows, attempting to match the structure and duration of the financing with the underlying asset’s cash flows, including through the use of hedges, as appropriate; and</w:t>
      </w:r>
    </w:p>
    <w:p>
      <w:pPr>
        <w:ind w:left="660" w:hanging="328"/>
        <w:spacing w:after="0" w:line="260" w:lineRule="auto"/>
        <w:tabs>
          <w:tab w:leader="none" w:pos="655"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operating our net leased real estate investments in an efficient and profitable manner, enhancing property value through proactive capital improvements and leasing strategies, and pursuing sale transactions to capture appreciation.</w:t>
      </w:r>
    </w:p>
    <w:p>
      <w:pPr>
        <w:spacing w:after="0" w:line="10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period for which we intend to hold our investments will vary depending on the type of asset, interest rates, investment performance, micro and macro real estate environment, capital markets and credit availability, among other factors. We generally expect to hold debt investments until the stated maturity and equity investments in accordance with each investment’s proposed business plan. We may sell all or a partial ownership interest in an investment before the end of the expected holding period if we believe that market conditions have maximized its value to us, or the sale of the asset would otherwise be in the best interests of our stockholders.</w:t>
      </w:r>
    </w:p>
    <w:p>
      <w:pPr>
        <w:spacing w:after="0" w:line="11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investment strategy is flexible, enabling us to adapt to shifts in economic, real estate and capital market conditions and to exploit market inefficiencies. We may expand or change our investment strategy or target assets over time in response to opportunities available in different economic and capital market conditions. This flexibility in our investment strategy allows us to employ a customized, solutions-oriented approach, which we believe is attractive to borrowers and tenants. We believe that our diverse portfolio, our ability to originate, acquire and manage our target assets and the flexibility of our investment strategy positions us to capitalize on market inefficiencies and generate attractive long-term risk-adjusted returns for our stockholders through a variety of market conditions and economic cycles.</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Underwriting, Asset and Risk Management</w:t>
      </w:r>
    </w:p>
    <w:p>
      <w:pPr>
        <w:spacing w:after="0" w:line="14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closely monitor our portfolio and actively manage risks associated with, among other things, our assets and interest rates. Prior to investing in any particular asset, the underwriting team, in conjunction with third party providers, undertakes a rigorous asset-level due diligence process, involving intensive data collection and analysis, to ensure that we understand fully the state of the market and the risk-reward profile of the asset. Our investment and portfolio management and risk assessment practices diligence the sustainability and other standards of our business counterparties, including borrowers, sponsors and that of our investment assets and underlying collateral, which may include sustainability initiatives, recycling, energy efficiency and water management, volunteer and charitable efforts, anti-money laundering and know-your-client policies, and engagement and belonging practices in workforce leadership, composition and hiring practices. Prior to making a final investment decision, we focus on portfolio diversification to determine whether a target asset will cause our portfolio to be too heavily concentrated with, or cause too much risk exposure to, any one borrower, real estate sector, geographic region, source of cash flow for payment or other geopolitical issues. If we determine that a proposed acquisition presents excessive concentration risk, we may determine not to acquire an otherwise attractive asset.</w:t>
      </w:r>
    </w:p>
    <w:p>
      <w:pPr>
        <w:spacing w:after="0" w:line="12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For each asset that we acquire, our asset management team engages in active management of the asset, the intensity of which depends on the attendant risks. The asset manager works collaboratively with the underwriting team to formulate a strategic plan for the particular asset, which includes evaluating the underlying collateral and updating valuation assumptions to reflect changes in the real estate market and the general economy. This plan also generally outlines several strategies for the asset to extract the maximum amount of value from each asset under a variety of market conditions. Such strategies may vary depending on the type of asset, the availability of refinancing options, recourse and maturity, but may include, among others, the restructuring of non-performing or sub-performing loans, the negotiation of discounted payoffs or other modification of the terms governing a loan, and the foreclosure and management of assets underlying non-performing loans in order to reposition</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them for profitable disposition. We continuously track the progress of an asset against the original business plan to ensure that the attendant risks of continuing to own the asset do not outweigh the associated rewards. Under these circumstances, certain assets will require intensified asset management in order to achieve optimal value realization.</w:t>
      </w:r>
    </w:p>
    <w:p>
      <w:pPr>
        <w:spacing w:after="0" w:line="9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asset management team engages in a proactive and comprehensive on-going review of the credit quality of each asset it manages. In particular, for debt investments on at least an annual basis, the asset management team will evaluate the financial wherewithal of individual borrowers to meet contractual obligations as well as review the financial stability of the assets securing such debt investments. Further, there is ongoing review of borrower covenant compliance including the ability of borrowers to meet certain negotiated debt service coverage ratios and debt yield tests. For equity investments, the asset management team, with the assistance of third-party property managers, monitors and reviews key metrics such as occupancy, same-store sales, tenant payment rates, property budgets and capital expenditures. If through this analysis of credit quality, the asset management team encounters declines in credit quality not in accordance with the original business plan, the team evaluates the risks and determines what changes, if any, are required to the business plan to ensure that the attendant risks of continuing to hold the investment do not outweigh the associated rewards.</w:t>
      </w:r>
    </w:p>
    <w:p>
      <w:pPr>
        <w:spacing w:after="0" w:line="12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addition, the audit committee of our board of directors, in consultation with management, periodically reviews our policies with respect to risk assessment and risk management, including key risks to which we are subject, including credit risk, liquidity risk and market risk, and the steps that management has taken to monitor and control such risks.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Inflation</w:t>
      </w:r>
    </w:p>
    <w:p>
      <w:pPr>
        <w:spacing w:after="0" w:line="14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Virtually all of our assets and liabilities are interest rate sensitive in nature. As a result, interest rates and other factors influence our performance significantly more than inflation does. A change in interest rates may correlate with the inflation rate. Substantially all of the leases at our multifamily properties allow for monthly or annual rent increases which provide us with the opportunity to achieve increases, where justified by the market, as each lease matures. Such types of leases generally minimize the risks of inflation on our multifamily properties.</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Refer to Item 3, “Quantitative and Qualitative Disclosures About Market Risk” for additional details.</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Estimates</w:t>
      </w:r>
    </w:p>
    <w:p>
      <w:pPr>
        <w:spacing w:after="0" w:line="14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consolidated financial statements are prepared in accordance with accounting principles generally accepted in the United States, or U.S. GAAP, which requires the use of estimates and assumptions that involve the exercise of judgment and that affect the reported amounts of assets and liabilities at the date of the consolidated financial statements and the reported amounts of revenues and expenses during the reporting period. There have been no material changes to our critical accounting estimates described in our Annual Report on Form 10-K for the fiscal year ended December 31, 2025.</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Updates</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For recent accounting updates, refer to Note 2, “Summary of Significant Accounting Policies” in our accompanying consolidated financial statements included in Part I, Item 1, “Financial Statements.”</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primary market risks are interest rate risk, prepayment risk, extension risk, credit risk, real estate market risk, capital market risk and foreign currency risk, either directly through the assets held or indirectly through investments in unconsolidated ventures.</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Rate Risk</w:t>
      </w:r>
    </w:p>
    <w:p>
      <w:pPr>
        <w:spacing w:after="0" w:line="14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Interest rate risk relates to the risk that the future cash flow of a financial instrument will fluctuate because of changes in market interest rates. Interest rate risk is highly sensitive to many factors, including governmental, monetary and tax policies, domestic and international economic and political considerations, international conflicts, inflation and other factors beyond our control. Credit curve spread risk is highly sensitive to the dynamics of the markets for loans and securities we hold. Excessive supply of these assets combined with reduced demand will cause the market to require a higher yield. This demand for higher yield will cause the market to use a higher spread over the U.S. Treasury securities yield curve, or other benchmark interest rates, to value these assets.</w:t>
      </w:r>
    </w:p>
    <w:p>
      <w:pPr>
        <w:spacing w:after="0" w:line="12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U.S. Treasury securities are priced to a higher yield and/or the spread to U.S. Treasuries used to price the assets increases, the price at which we could sell some of our fixed rate financial assets may decline. Conversely, as U.S. Treasury securities are priced to a lower yield and/or the spread to U.S. Treasuries used to price the assets decreases, the value of our fixed rate financial assets may increase. Fluctuations in SOFR may affect the amount of interest income we earn on our floating rate</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borrowings and interest expense we incur on borrowings indexed to SOFR, including under credit facilities and investment-level financing.</w:t>
      </w:r>
    </w:p>
    <w:p>
      <w:pPr>
        <w:spacing w:after="0" w:line="14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have utilized, and in the future may utilize, a variety of financial instruments on some of our investments, including interest rate swaps, caps, floors and other interest rate exchange contracts, in order to limit the effects of fluctuations in interest rates on our operations. The use of these types of derivatives to hedge interest-earning assets and/or interest-bearing liabilities carries certain risks, including the risk that losses on a hedge position will reduce the funds available for distribution and that such losses may exceed the amount invested in such instruments. A hedge may not perform its intended purpose of offsetting losses of rising interest rates. Moreover, with respect to certain of the instruments used as hedges, there is exposure to the risk that the counterparties may cease making markets and quoting prices in such instruments, which may inhibit the ability to enter into an offsetting transaction with respect to an open position. Our profitability may be adversely affected during any period as a result of changing interest rates. At September 30, 2026, we held no derivative instruments.</w:t>
      </w:r>
    </w:p>
    <w:p>
      <w:pPr>
        <w:spacing w:after="0" w:line="12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September 30, 2026, a hypothetical 100 basis point increase or decrease in the applicable interest rate benchmark on our loan portfolio would increase interest income by $6.7 million or decrease interest income by $4.3 million annually, net of interest expense.</w:t>
      </w:r>
    </w:p>
    <w:p>
      <w:pPr>
        <w:spacing w:after="0" w:line="9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Refer to the “Factors Impacting Our Operating Results” section in “Item 2. Management’s Discussion and Analysis of Financial Condition and Results of Operations” for further discussion on interest rates.</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Prepayment risk</w:t>
      </w:r>
    </w:p>
    <w:p>
      <w:pPr>
        <w:spacing w:after="0" w:line="16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Prepayment risk is the risk that principal will be repaid at a different rate than anticipated, resulting in a less than expected return on an investment. As prepayments of principal are received, any premiums paid on such assets are amortized against interest income, while any discounts on such assets are accreted into interest income. Therefore, an increase in prepayment rates has the following impact: (i) accelerates amortization of purchase premiums, which reduces interest income earned on the assets; and conversely, (ii) accelerates accretion of purchase discounts, which increases interest income earned on the assets.</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Extension risk</w:t>
      </w:r>
    </w:p>
    <w:p>
      <w:pPr>
        <w:spacing w:after="0" w:line="14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weighted average life of assets is projected based on assumptions regarding the rate at which borrowers will prepay or extend their mortgages. If prepayment rates decrease or extension options are exercised by borrowers at a rate that deviates significantly from projections, the life of fixed rate assets could extend beyond the term of the secured debt agreements. This in turn could negatively impact liquidity to the extent that assets may have to be sold and losses may be incurred as a result.</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Credit risk</w:t>
      </w:r>
    </w:p>
    <w:p>
      <w:pPr>
        <w:spacing w:after="0" w:line="16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Investment in loans held for investment is subject to a high degree of credit risk through exposure to loss from loan defaults. Default rates are subject to a wide variety of factors, including, but not limited to, borrower financial condition, property performance, property management, supply/demand factors, construction trends, consumer behavior, regional economics, interest rates, the strength of the U.S. economy and other factors beyond our control. All loans are subject to a certain probability of default. We manage credit risk through the underwriting process, acquiring investments at the appropriate discount to face value, if any, and establishing loss assumptions. We carefully monitor performance of all loans, including those held through joint venture investments, as well as the external factors that may affect their value.</w:t>
      </w:r>
    </w:p>
    <w:p>
      <w:pPr>
        <w:spacing w:after="0" w:line="10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are also subject to the credit risk of the tenants in our properties, including business closures, occupancy levels, meeting rent or other expense obligations, lease concessions, and sustainability standards and practices among other factors. We seek to undertake a rigorous credit evaluation of the tenants prior to acquiring properties. This analysis includes an extensive due diligence investigation of the tenants’ businesses, as well as an assessment of the strategic importance of the underlying real estate to the respective tenants’ core business operations. Where appropriate, we may seek to augment the tenants’ commitment to the properties by structuring various credit enhancement mechanisms into the underlying leases. These mechanisms could include security deposit requirements or guarantees from entities that are deemed credit worthy.</w:t>
      </w:r>
    </w:p>
    <w:p>
      <w:pPr>
        <w:spacing w:after="0" w:line="12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in-depth understanding of CRE and real estate-related investments, and in-house underwriting, asset management and resolution capabilities, provides us and management with a sophisticated full-service platform to regularly evaluate our investments and determine primary, secondary or alternative strategies to manage the credit risks described above. This includes intermediate servicing and complex and creative negotiating, restructuring of non-performing investments, foreclosure considerations, intense management or development of owned real estate, in each case to manage the risks faced to achieve value realization events in our interests and our stockholders. Solutions considered may include defensive loan or lease modifications, temporary interest or rent deferrals or forbearances, converting current interest payment obligations to payment-in-kind, repurposing reserves and/or covenant waivers. Depending on the nature of the underlying investment and credit risk,</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may pursue repositioning strategies through judicious capital investment in order to extract value from the investment or limit losses.</w:t>
      </w:r>
    </w:p>
    <w:p>
      <w:pPr>
        <w:spacing w:after="0" w:line="14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There can be no assurance that the measures we take will be sufficient to address or mitigate the impact of credit risk on our future operating results, liquidity and financial condition.</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Real estate market risk</w:t>
      </w:r>
    </w:p>
    <w:p>
      <w:pPr>
        <w:spacing w:after="0" w:line="16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are exposed to the risks generally associated with the commercial real estate market. The market values of commercial real estate are subject to volatility and may be affected adversely by a number of factors, including, but not limited to, national, regional, and local economic conditions, as well as changes or weakness in specific industry segments, and other macroeconomic factors beyond our control which have and may continue to affect occupancy rates, capitalization rates and absorption rates. This in turn could impact the performance of tenants and borrowers. We seek to manage these risks through our underwriting due diligence and asset management processes and the solutions-oriented process described above.</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Capital markets risk</w:t>
      </w:r>
    </w:p>
    <w:p>
      <w:pPr>
        <w:spacing w:after="0" w:line="16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are exposed to risks related to the debt capital markets, specifically the ability to finance our business through borrowings under secured revolving repurchase facilities, secured and unsecured warehouse facilities or other debt instruments. We seek to mitigate these risks by monitoring the debt capital markets to inform our decisions on the amount, timing and terms of our borrowings.</w:t>
      </w:r>
    </w:p>
    <w:p>
      <w:pPr>
        <w:spacing w:after="0" w:line="10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Master Repurchase Facilities are partial recourse, and margin call provisions do not permit valuation adjustments based on capital markets events; rather they are limited to collateral-specific credit marks generally determined on a commercially reasonable basis. For the nine months ended September 30, 2026, and through October 27, 2026, we have not received any margin calls under our Master Repurchase Facilities.</w:t>
      </w:r>
    </w:p>
    <w:p>
      <w:pPr>
        <w:spacing w:after="0" w:line="9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have amended our Bank Credit Facility and Master Repurchase Facilities to adjust certain covenants (such as the tangible net worth covenant), reduce advance rates on certain financed assets, obtain margin call holidays and permitted modification flexibilities, in an effort to mitigate the risk of future compliance issues, including margin calls, under our financing arrangements.</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Foreign Currency Risk</w:t>
      </w:r>
    </w:p>
    <w:p>
      <w:pPr>
        <w:spacing w:after="0" w:line="16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previously had foreign currency rate exposures related to our prior foreign currency-denominated investments held by our foreign subsidiaries. Changes in foreign currency rates could have adversely affected the fair values and earning of our non-U.S. holdings. We generally mitigated this foreign currency risk by utilizing currency instruments to hedge our prior net investments in our foreign subsidiaries. The type of hedging instruments that we employed on our foreign subsidiary investments were put options.</w:t>
      </w:r>
    </w:p>
    <w:p>
      <w:pPr>
        <w:spacing w:after="0" w:line="9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had no foreign exchange contracts in place at September 30, 2026. The maturity dates of the prior instruments approximated the projected dates of related cash flows for specific investments. Termination or maturity of currency hedging instruments may have resulted in an obligation for payment to or from the counterparty to the hedging agreement. We were exposed to credit loss in the event of non-performance by counterparties for these contracts. To manage this risk, we selected major international banks and financial institutions as counterparties and performed a quarterly review of the financial health and stability of our trading counterparties. No counterparty defaulted on its obligations when we held foreign exchange contracts.</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14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maintain disclosure controls and procedures, as defined in Rules 13a-15(e) and 15d-15(e) under the Exchange Act, that are designed to ensure that information required to be disclosed in our Exchange Act reports is recorded, processed, summarized and reported within the time periods specified in the SEC’s rules and forms, and that such information is accumulated and communicated to our management, including our Chief Executive Officer and Chief Financial Officer, as appropriate, to allow timely decisions regarding required disclosure.</w:t>
      </w:r>
    </w:p>
    <w:p>
      <w:pPr>
        <w:spacing w:after="0" w:line="11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required by Rule 13a-15(b) under the Exchange Act, our management carried out an evaluation, under the supervision and with the participation of our Chief Executive Officer and Chief Financial Officer, of the effectiveness of our disclosure controls and procedures. Based on this evaluation, our Chief Executive Officer and Chief Financial Officer concluded that as of September 30, 2026, our disclosure controls and procedures were effective at providing reasonable assurance regarding the</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9" w:name="page80"/>
    <w:bookmarkEnd w:id="7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reliability of the information required to be disclosed by us in reports that we file under the Exchange Act is recorded, processed, summarized and reported within the time periods specified in SEC rules and forms.</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16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There have been no changes in our internal control over financial reporting (as defined in Rules 13a-15(f) and 15d-15(f) under the Exchange Act) during the most recent fiscal quarter that materially affected, or are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0" w:name="page81"/>
    <w:bookmarkEnd w:id="8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II—Other Information</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14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is not currently subject to any material legal proceedings. We anticipate that we may from time to time be involved in legal actions arising in the ordinary course of business, the outcome of which we would not expect to have a material adverse effect on our financial position, results of operations or cash flow.</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An investment in our common stock involves a high degree of risk. You should carefully consider the risks included in our Annual Report on Form 10-K for the fiscal year ended December 31, 2025 before deciding to purchase shares of our common stock. If any of the events, contingencies, circumstances or conditions described in the risks therein actually occurs, they could have a material adverse effect in our business, results of operations and financial conditions or cause our stock price to decline.</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were no sales of unregistered securities of our Company during the nine months ended September 30, 2026.</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Purchases of Equity Securities by Issuer</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repurchase of common stock for the three months ended September 30, 2026 (in thousands, except per share data):</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color w:val="auto"/>
        </w:rPr>
        <w:t>Period</w:t>
      </w:r>
    </w:p>
    <w:p>
      <w:pPr>
        <w:spacing w:after="0" w:line="6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July 1 - 31, 2026</w:t>
      </w:r>
      <w:r>
        <w:rPr>
          <w:rFonts w:ascii="Times New Roman" w:cs="Times New Roman" w:eastAsia="Times New Roman" w:hAnsi="Times New Roman"/>
          <w:sz w:val="18"/>
          <w:szCs w:val="18"/>
          <w:color w:val="auto"/>
          <w:vertAlign w:val="superscript"/>
        </w:rPr>
        <w:t>(2)</w:t>
      </w:r>
    </w:p>
    <w:p>
      <w:pPr>
        <w:spacing w:after="0" w:line="1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August 1 - 31, 2026</w:t>
      </w:r>
      <w:r>
        <w:rPr>
          <w:rFonts w:ascii="Times New Roman" w:cs="Times New Roman" w:eastAsia="Times New Roman" w:hAnsi="Times New Roman"/>
          <w:sz w:val="18"/>
          <w:szCs w:val="18"/>
          <w:color w:val="auto"/>
          <w:vertAlign w:val="superscript"/>
        </w:rPr>
        <w:t>(3)</w:t>
      </w:r>
    </w:p>
    <w:p>
      <w:pPr>
        <w:spacing w:after="0" w:line="1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September 1 - 30, 2026</w:t>
      </w:r>
    </w:p>
    <w:p>
      <w:pPr>
        <w:spacing w:after="0" w:line="7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color w:val="auto"/>
        </w:rPr>
        <w:t>Total</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________________________________________</w:t>
      </w:r>
    </w:p>
    <w:p>
      <w:pPr>
        <w:spacing w:after="0" w:line="20" w:lineRule="exact"/>
        <w:rPr>
          <w:sz w:val="20"/>
          <w:szCs w:val="20"/>
          <w:color w:val="auto"/>
        </w:rPr>
      </w:pPr>
      <w:r>
        <w:rPr>
          <w:sz w:val="20"/>
          <w:szCs w:val="20"/>
          <w:color w:val="auto"/>
        </w:rPr>
        <w:br w:type="column"/>
      </w:r>
    </w:p>
    <w:p>
      <w:pPr>
        <w:spacing w:after="0" w:line="17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10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Total number of shares</w:t>
            </w:r>
          </w:p>
        </w:tc>
        <w:tc>
          <w:tcPr>
            <w:tcW w:w="230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Maximum number (or approximate</w:t>
            </w:r>
          </w:p>
        </w:tc>
        <w:tc>
          <w:tcPr>
            <w:tcW w:w="0" w:type="dxa"/>
            <w:vAlign w:val="bottom"/>
          </w:tcPr>
          <w:p>
            <w:pPr>
              <w:spacing w:after="0"/>
              <w:rPr>
                <w:sz w:val="1"/>
                <w:szCs w:val="1"/>
                <w:color w:val="auto"/>
              </w:rPr>
            </w:pPr>
          </w:p>
        </w:tc>
      </w:tr>
      <w:tr>
        <w:trPr>
          <w:trHeight w:val="146"/>
        </w:trPr>
        <w:tc>
          <w:tcPr>
            <w:tcW w:w="210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Total number of shares</w:t>
            </w:r>
          </w:p>
        </w:tc>
        <w:tc>
          <w:tcPr>
            <w:tcW w:w="1660" w:type="dxa"/>
            <w:vAlign w:val="bottom"/>
            <w:gridSpan w:val="3"/>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Average price paid per</w:t>
            </w:r>
          </w:p>
        </w:tc>
        <w:tc>
          <w:tcPr>
            <w:tcW w:w="2100" w:type="dxa"/>
            <w:vAlign w:val="bottom"/>
            <w:gridSpan w:val="2"/>
            <w:vMerge w:val="continue"/>
          </w:tcPr>
          <w:p>
            <w:pPr>
              <w:spacing w:after="0"/>
              <w:rPr>
                <w:sz w:val="12"/>
                <w:szCs w:val="12"/>
                <w:color w:val="auto"/>
              </w:rPr>
            </w:pPr>
          </w:p>
        </w:tc>
        <w:tc>
          <w:tcPr>
            <w:tcW w:w="2300" w:type="dxa"/>
            <w:vAlign w:val="bottom"/>
            <w:gridSpan w:val="2"/>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dollar value) of shares that may yet</w:t>
            </w:r>
          </w:p>
        </w:tc>
        <w:tc>
          <w:tcPr>
            <w:tcW w:w="0" w:type="dxa"/>
            <w:vAlign w:val="bottom"/>
          </w:tcPr>
          <w:p>
            <w:pPr>
              <w:spacing w:after="0"/>
              <w:rPr>
                <w:sz w:val="1"/>
                <w:szCs w:val="1"/>
                <w:color w:val="auto"/>
              </w:rPr>
            </w:pPr>
          </w:p>
        </w:tc>
      </w:tr>
      <w:tr>
        <w:trPr>
          <w:trHeight w:val="148"/>
        </w:trPr>
        <w:tc>
          <w:tcPr>
            <w:tcW w:w="2100" w:type="dxa"/>
            <w:vAlign w:val="bottom"/>
            <w:gridSpan w:val="2"/>
            <w:vMerge w:val="continue"/>
          </w:tcPr>
          <w:p>
            <w:pPr>
              <w:spacing w:after="0"/>
              <w:rPr>
                <w:sz w:val="12"/>
                <w:szCs w:val="12"/>
                <w:color w:val="auto"/>
              </w:rPr>
            </w:pPr>
          </w:p>
        </w:tc>
        <w:tc>
          <w:tcPr>
            <w:tcW w:w="1660" w:type="dxa"/>
            <w:vAlign w:val="bottom"/>
            <w:gridSpan w:val="3"/>
            <w:vMerge w:val="continue"/>
          </w:tcPr>
          <w:p>
            <w:pPr>
              <w:spacing w:after="0"/>
              <w:rPr>
                <w:sz w:val="12"/>
                <w:szCs w:val="12"/>
                <w:color w:val="auto"/>
              </w:rPr>
            </w:pPr>
          </w:p>
        </w:tc>
        <w:tc>
          <w:tcPr>
            <w:tcW w:w="210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purchased as part of publicly</w:t>
            </w:r>
          </w:p>
        </w:tc>
        <w:tc>
          <w:tcPr>
            <w:tcW w:w="120" w:type="dxa"/>
            <w:vAlign w:val="bottom"/>
          </w:tcPr>
          <w:p>
            <w:pPr>
              <w:spacing w:after="0"/>
              <w:rPr>
                <w:sz w:val="12"/>
                <w:szCs w:val="12"/>
                <w:color w:val="auto"/>
              </w:rPr>
            </w:pPr>
          </w:p>
        </w:tc>
        <w:tc>
          <w:tcPr>
            <w:tcW w:w="2180" w:type="dxa"/>
            <w:vAlign w:val="bottom"/>
          </w:tcPr>
          <w:p>
            <w:pPr>
              <w:jc w:val="center"/>
              <w:ind w:right="48"/>
              <w:spacing w:after="0" w:line="149" w:lineRule="exact"/>
              <w:rPr>
                <w:sz w:val="20"/>
                <w:szCs w:val="20"/>
                <w:color w:val="auto"/>
              </w:rPr>
            </w:pPr>
            <w:r>
              <w:rPr>
                <w:rFonts w:ascii="Times New Roman" w:cs="Times New Roman" w:eastAsia="Times New Roman" w:hAnsi="Times New Roman"/>
                <w:sz w:val="14"/>
                <w:szCs w:val="14"/>
                <w:b w:val="1"/>
                <w:bCs w:val="1"/>
                <w:color w:val="auto"/>
              </w:rPr>
              <w:t>be purchased under the plans or</w:t>
            </w:r>
          </w:p>
        </w:tc>
        <w:tc>
          <w:tcPr>
            <w:tcW w:w="0" w:type="dxa"/>
            <w:vAlign w:val="bottom"/>
          </w:tcPr>
          <w:p>
            <w:pPr>
              <w:spacing w:after="0"/>
              <w:rPr>
                <w:sz w:val="1"/>
                <w:szCs w:val="1"/>
                <w:color w:val="auto"/>
              </w:rPr>
            </w:pPr>
          </w:p>
        </w:tc>
      </w:tr>
      <w:tr>
        <w:trPr>
          <w:trHeight w:val="203"/>
        </w:trPr>
        <w:tc>
          <w:tcPr>
            <w:tcW w:w="21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purchased</w:t>
            </w:r>
          </w:p>
        </w:tc>
        <w:tc>
          <w:tcPr>
            <w:tcW w:w="360" w:type="dxa"/>
            <w:vAlign w:val="bottom"/>
          </w:tcPr>
          <w:p>
            <w:pPr>
              <w:spacing w:after="0"/>
              <w:rPr>
                <w:sz w:val="17"/>
                <w:szCs w:val="17"/>
                <w:color w:val="auto"/>
              </w:rPr>
            </w:pPr>
          </w:p>
        </w:tc>
        <w:tc>
          <w:tcPr>
            <w:tcW w:w="1300" w:type="dxa"/>
            <w:vAlign w:val="bottom"/>
            <w:gridSpan w:val="2"/>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w w:val="97"/>
              </w:rPr>
              <w:t>share</w:t>
            </w:r>
          </w:p>
        </w:tc>
        <w:tc>
          <w:tcPr>
            <w:tcW w:w="21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announced plans or programs</w:t>
            </w:r>
          </w:p>
        </w:tc>
        <w:tc>
          <w:tcPr>
            <w:tcW w:w="120" w:type="dxa"/>
            <w:vAlign w:val="bottom"/>
          </w:tcPr>
          <w:p>
            <w:pPr>
              <w:spacing w:after="0"/>
              <w:rPr>
                <w:sz w:val="17"/>
                <w:szCs w:val="17"/>
                <w:color w:val="auto"/>
              </w:rPr>
            </w:pPr>
          </w:p>
        </w:tc>
        <w:tc>
          <w:tcPr>
            <w:tcW w:w="2180" w:type="dxa"/>
            <w:vAlign w:val="bottom"/>
          </w:tcPr>
          <w:p>
            <w:pPr>
              <w:jc w:val="center"/>
              <w:ind w:right="48"/>
              <w:spacing w:after="0" w:line="202" w:lineRule="exact"/>
              <w:rPr>
                <w:sz w:val="20"/>
                <w:szCs w:val="20"/>
                <w:color w:val="auto"/>
              </w:rPr>
            </w:pPr>
            <w:r>
              <w:rPr>
                <w:rFonts w:ascii="Times New Roman" w:cs="Times New Roman" w:eastAsia="Times New Roman" w:hAnsi="Times New Roman"/>
                <w:sz w:val="14"/>
                <w:szCs w:val="14"/>
                <w:b w:val="1"/>
                <w:bCs w:val="1"/>
                <w:color w:val="auto"/>
                <w:w w:val="96"/>
              </w:rPr>
              <w:t>programs</w:t>
            </w:r>
            <w:r>
              <w:rPr>
                <w:rFonts w:ascii="Times New Roman" w:cs="Times New Roman" w:eastAsia="Times New Roman" w:hAnsi="Times New Roman"/>
                <w:sz w:val="18"/>
                <w:szCs w:val="18"/>
                <w:b w:val="1"/>
                <w:bCs w:val="1"/>
                <w:color w:val="auto"/>
                <w:w w:val="96"/>
                <w:vertAlign w:val="superscript"/>
              </w:rPr>
              <w:t>(1)</w:t>
            </w:r>
          </w:p>
        </w:tc>
        <w:tc>
          <w:tcPr>
            <w:tcW w:w="0" w:type="dxa"/>
            <w:vAlign w:val="bottom"/>
          </w:tcPr>
          <w:p>
            <w:pPr>
              <w:spacing w:after="0"/>
              <w:rPr>
                <w:sz w:val="1"/>
                <w:szCs w:val="1"/>
                <w:color w:val="auto"/>
              </w:rPr>
            </w:pPr>
          </w:p>
        </w:tc>
      </w:tr>
      <w:tr>
        <w:trPr>
          <w:trHeight w:val="186"/>
        </w:trPr>
        <w:tc>
          <w:tcPr>
            <w:tcW w:w="2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266</w:t>
            </w:r>
          </w:p>
        </w:tc>
        <w:tc>
          <w:tcPr>
            <w:tcW w:w="100" w:type="dxa"/>
            <w:vAlign w:val="bottom"/>
          </w:tcPr>
          <w:p>
            <w:pPr>
              <w:spacing w:after="0"/>
              <w:rPr>
                <w:sz w:val="16"/>
                <w:szCs w:val="16"/>
                <w:color w:val="auto"/>
              </w:rPr>
            </w:pPr>
          </w:p>
        </w:tc>
        <w:tc>
          <w:tcPr>
            <w:tcW w:w="360" w:type="dxa"/>
            <w:vAlign w:val="bottom"/>
            <w:tcBorders>
              <w:top w:val="single" w:sz="8" w:color="auto"/>
            </w:tcBorders>
          </w:tcPr>
          <w:p>
            <w:pPr>
              <w:jc w:val="right"/>
              <w:ind w:right="208"/>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5.40</w:t>
            </w:r>
          </w:p>
        </w:tc>
        <w:tc>
          <w:tcPr>
            <w:tcW w:w="100" w:type="dxa"/>
            <w:vAlign w:val="bottom"/>
          </w:tcPr>
          <w:p>
            <w:pPr>
              <w:spacing w:after="0"/>
              <w:rPr>
                <w:sz w:val="16"/>
                <w:szCs w:val="16"/>
                <w:color w:val="auto"/>
              </w:rPr>
            </w:pPr>
          </w:p>
        </w:tc>
        <w:tc>
          <w:tcPr>
            <w:tcW w:w="2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266</w:t>
            </w:r>
          </w:p>
        </w:tc>
        <w:tc>
          <w:tcPr>
            <w:tcW w:w="80" w:type="dxa"/>
            <w:vAlign w:val="bottom"/>
          </w:tcPr>
          <w:p>
            <w:pPr>
              <w:spacing w:after="0"/>
              <w:rPr>
                <w:sz w:val="16"/>
                <w:szCs w:val="16"/>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29,018</w:t>
            </w:r>
          </w:p>
        </w:tc>
        <w:tc>
          <w:tcPr>
            <w:tcW w:w="0" w:type="dxa"/>
            <w:vAlign w:val="bottom"/>
          </w:tcPr>
          <w:p>
            <w:pPr>
              <w:spacing w:after="0"/>
              <w:rPr>
                <w:sz w:val="1"/>
                <w:szCs w:val="1"/>
                <w:color w:val="auto"/>
              </w:rPr>
            </w:pPr>
          </w:p>
        </w:tc>
      </w:tr>
      <w:tr>
        <w:trPr>
          <w:trHeight w:val="216"/>
        </w:trPr>
        <w:tc>
          <w:tcPr>
            <w:tcW w:w="2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793</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5.06</w:t>
            </w:r>
          </w:p>
        </w:tc>
        <w:tc>
          <w:tcPr>
            <w:tcW w:w="100" w:type="dxa"/>
            <w:vAlign w:val="bottom"/>
          </w:tcPr>
          <w:p>
            <w:pPr>
              <w:spacing w:after="0"/>
              <w:rPr>
                <w:sz w:val="18"/>
                <w:szCs w:val="18"/>
                <w:color w:val="auto"/>
              </w:rPr>
            </w:pPr>
          </w:p>
        </w:tc>
        <w:tc>
          <w:tcPr>
            <w:tcW w:w="2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793</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25,000</w:t>
            </w:r>
          </w:p>
        </w:tc>
        <w:tc>
          <w:tcPr>
            <w:tcW w:w="0" w:type="dxa"/>
            <w:vAlign w:val="bottom"/>
          </w:tcPr>
          <w:p>
            <w:pPr>
              <w:spacing w:after="0"/>
              <w:rPr>
                <w:sz w:val="1"/>
                <w:szCs w:val="1"/>
                <w:color w:val="auto"/>
              </w:rPr>
            </w:pPr>
          </w:p>
        </w:tc>
      </w:tr>
      <w:tr>
        <w:trPr>
          <w:trHeight w:val="216"/>
        </w:trPr>
        <w:tc>
          <w:tcPr>
            <w:tcW w:w="2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1,004</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4.46</w:t>
            </w:r>
          </w:p>
        </w:tc>
        <w:tc>
          <w:tcPr>
            <w:tcW w:w="100" w:type="dxa"/>
            <w:vAlign w:val="bottom"/>
          </w:tcPr>
          <w:p>
            <w:pPr>
              <w:spacing w:after="0"/>
              <w:rPr>
                <w:sz w:val="18"/>
                <w:szCs w:val="18"/>
                <w:color w:val="auto"/>
              </w:rPr>
            </w:pPr>
          </w:p>
        </w:tc>
        <w:tc>
          <w:tcPr>
            <w:tcW w:w="2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1,004</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20,520</w:t>
            </w:r>
          </w:p>
        </w:tc>
        <w:tc>
          <w:tcPr>
            <w:tcW w:w="0" w:type="dxa"/>
            <w:vAlign w:val="bottom"/>
          </w:tcPr>
          <w:p>
            <w:pPr>
              <w:spacing w:after="0"/>
              <w:rPr>
                <w:sz w:val="1"/>
                <w:szCs w:val="1"/>
                <w:color w:val="auto"/>
              </w:rPr>
            </w:pPr>
          </w:p>
        </w:tc>
      </w:tr>
      <w:tr>
        <w:trPr>
          <w:trHeight w:val="23"/>
        </w:trPr>
        <w:tc>
          <w:tcPr>
            <w:tcW w:w="2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2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2,063</w:t>
            </w:r>
          </w:p>
        </w:tc>
        <w:tc>
          <w:tcPr>
            <w:tcW w:w="100" w:type="dxa"/>
            <w:vAlign w:val="bottom"/>
          </w:tcPr>
          <w:p>
            <w:pPr>
              <w:spacing w:after="0"/>
              <w:rPr>
                <w:sz w:val="16"/>
                <w:szCs w:val="16"/>
                <w:color w:val="auto"/>
              </w:rPr>
            </w:pPr>
          </w:p>
        </w:tc>
        <w:tc>
          <w:tcPr>
            <w:tcW w:w="360" w:type="dxa"/>
            <w:vAlign w:val="bottom"/>
          </w:tcPr>
          <w:p>
            <w:pPr>
              <w:jc w:val="right"/>
              <w:ind w:right="208"/>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4.81</w:t>
            </w:r>
          </w:p>
        </w:tc>
        <w:tc>
          <w:tcPr>
            <w:tcW w:w="100" w:type="dxa"/>
            <w:vAlign w:val="bottom"/>
          </w:tcPr>
          <w:p>
            <w:pPr>
              <w:spacing w:after="0"/>
              <w:rPr>
                <w:sz w:val="16"/>
                <w:szCs w:val="16"/>
                <w:color w:val="auto"/>
              </w:rPr>
            </w:pPr>
          </w:p>
        </w:tc>
        <w:tc>
          <w:tcPr>
            <w:tcW w:w="2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2,063</w:t>
            </w:r>
          </w:p>
        </w:tc>
        <w:tc>
          <w:tcPr>
            <w:tcW w:w="8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20,520</w:t>
            </w:r>
          </w:p>
        </w:tc>
        <w:tc>
          <w:tcPr>
            <w:tcW w:w="0" w:type="dxa"/>
            <w:vAlign w:val="bottom"/>
          </w:tcPr>
          <w:p>
            <w:pPr>
              <w:spacing w:after="0"/>
              <w:rPr>
                <w:sz w:val="1"/>
                <w:szCs w:val="1"/>
                <w:color w:val="auto"/>
              </w:rPr>
            </w:pPr>
          </w:p>
        </w:tc>
      </w:tr>
      <w:tr>
        <w:trPr>
          <w:trHeight w:val="23"/>
        </w:trPr>
        <w:tc>
          <w:tcPr>
            <w:tcW w:w="2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-1950085</wp:posOffset>
            </wp:positionH>
            <wp:positionV relativeFrom="paragraph">
              <wp:posOffset>-599440</wp:posOffset>
            </wp:positionV>
            <wp:extent cx="7132320" cy="14541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-1950085</wp:posOffset>
            </wp:positionH>
            <wp:positionV relativeFrom="paragraph">
              <wp:posOffset>-316230</wp:posOffset>
            </wp:positionV>
            <wp:extent cx="7132320" cy="13716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249" w:lineRule="exact"/>
        <w:rPr>
          <w:sz w:val="20"/>
          <w:szCs w:val="20"/>
          <w:color w:val="auto"/>
        </w:rPr>
      </w:pPr>
    </w:p>
    <w:p>
      <w:pPr>
        <w:sectPr>
          <w:pgSz w:w="11900" w:h="16838" w:orient="portrait"/>
          <w:cols w:equalWidth="0" w:num="2">
            <w:col w:w="2880" w:space="200"/>
            <w:col w:w="8160"/>
          </w:cols>
          <w:pgMar w:left="320" w:top="121" w:right="339" w:bottom="1440" w:gutter="0" w:footer="0" w:header="0"/>
          <w:type w:val="continuous"/>
        </w:sectPr>
      </w:pPr>
    </w:p>
    <w:p>
      <w:pPr>
        <w:jc w:val="both"/>
        <w:ind w:left="340" w:hanging="332"/>
        <w:spacing w:after="0" w:line="260" w:lineRule="auto"/>
        <w:tabs>
          <w:tab w:leader="none" w:pos="332" w:val="left"/>
        </w:tabs>
        <w:numPr>
          <w:ilvl w:val="0"/>
          <w:numId w:val="4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April 2025, the Company’s board of directors authorized the prior stock repurchase program under which the Company may repurchase up to $50.0 million of its outstanding Class A common stock until April 30, 2026. A new Stock Repurchase Program was entered into in April 2026 under which the Company may repurchase up to $50.0 million of its outstanding Class A common stock until April 30, 2027.</w:t>
      </w:r>
    </w:p>
    <w:p>
      <w:pPr>
        <w:ind w:left="320" w:hanging="312"/>
        <w:spacing w:after="0"/>
        <w:tabs>
          <w:tab w:leader="none" w:pos="320" w:val="left"/>
        </w:tabs>
        <w:numPr>
          <w:ilvl w:val="0"/>
          <w:numId w:val="4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265,811 shares which were repurchased in June 2026 and settled in July 2026, in accordance with the Company’s policy.</w:t>
      </w:r>
    </w:p>
    <w:p>
      <w:pPr>
        <w:spacing w:after="0" w:line="14" w:lineRule="exact"/>
        <w:rPr>
          <w:rFonts w:ascii="Times New Roman" w:cs="Times New Roman" w:eastAsia="Times New Roman" w:hAnsi="Times New Roman"/>
          <w:sz w:val="14"/>
          <w:szCs w:val="14"/>
          <w:color w:val="auto"/>
        </w:rPr>
      </w:pPr>
    </w:p>
    <w:p>
      <w:pPr>
        <w:ind w:left="320" w:hanging="312"/>
        <w:spacing w:after="0"/>
        <w:tabs>
          <w:tab w:leader="none" w:pos="320" w:val="left"/>
        </w:tabs>
        <w:numPr>
          <w:ilvl w:val="0"/>
          <w:numId w:val="4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409,782 shares which were repurchased in July 2026 and settled in August 2026, in accordance with the Company’s policy.</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81" w:name="page82"/>
    <w:bookmarkEnd w:id="8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600" w:type="dxa"/>
            <w:vAlign w:val="bottom"/>
            <w:gridSpan w:val="10"/>
          </w:tcPr>
          <w:p>
            <w:pPr>
              <w:ind w:left="3240"/>
              <w:spacing w:after="0"/>
              <w:rPr>
                <w:sz w:val="20"/>
                <w:szCs w:val="20"/>
                <w:color w:val="auto"/>
              </w:rPr>
            </w:pPr>
            <w:r>
              <w:rPr>
                <w:rFonts w:ascii="Times New Roman" w:cs="Times New Roman" w:eastAsia="Times New Roman" w:hAnsi="Times New Roman"/>
                <w:sz w:val="18"/>
                <w:szCs w:val="18"/>
                <w:b w:val="1"/>
                <w:bCs w:val="1"/>
                <w:color w:val="auto"/>
              </w:rPr>
              <w:t>EXHIBIT INDEX</w:t>
            </w:r>
          </w:p>
        </w:tc>
        <w:tc>
          <w:tcPr>
            <w:tcW w:w="0" w:type="dxa"/>
            <w:vAlign w:val="bottom"/>
          </w:tcPr>
          <w:p>
            <w:pPr>
              <w:spacing w:after="0"/>
              <w:rPr>
                <w:sz w:val="1"/>
                <w:szCs w:val="1"/>
                <w:color w:val="auto"/>
              </w:rPr>
            </w:pPr>
          </w:p>
        </w:tc>
      </w:tr>
      <w:tr>
        <w:trPr>
          <w:trHeight w:val="351"/>
        </w:trPr>
        <w:tc>
          <w:tcPr>
            <w:tcW w:w="116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Exhibit</w:t>
            </w:r>
          </w:p>
        </w:tc>
        <w:tc>
          <w:tcPr>
            <w:tcW w:w="20" w:type="dxa"/>
            <w:vAlign w:val="bottom"/>
          </w:tcPr>
          <w:p>
            <w:pPr>
              <w:spacing w:after="0"/>
              <w:rPr>
                <w:sz w:val="24"/>
                <w:szCs w:val="24"/>
                <w:color w:val="auto"/>
              </w:rPr>
            </w:pPr>
          </w:p>
        </w:tc>
        <w:tc>
          <w:tcPr>
            <w:tcW w:w="10100" w:type="dxa"/>
            <w:vAlign w:val="bottom"/>
            <w:gridSpan w:val="11"/>
            <w:vMerge w:val="restart"/>
          </w:tcPr>
          <w:p>
            <w:pPr>
              <w:spacing w:after="0"/>
              <w:rPr>
                <w:sz w:val="20"/>
                <w:szCs w:val="20"/>
                <w:color w:val="auto"/>
              </w:rPr>
            </w:pPr>
            <w:r>
              <w:rPr>
                <w:rFonts w:ascii="Times New Roman" w:cs="Times New Roman" w:eastAsia="Times New Roman" w:hAnsi="Times New Roman"/>
                <w:sz w:val="16"/>
                <w:szCs w:val="16"/>
                <w:b w:val="1"/>
                <w:bCs w:val="1"/>
                <w:color w:val="auto"/>
              </w:rPr>
              <w:t>Description of Exhibit</w:t>
            </w:r>
          </w:p>
        </w:tc>
        <w:tc>
          <w:tcPr>
            <w:tcW w:w="0" w:type="dxa"/>
            <w:vAlign w:val="bottom"/>
          </w:tcPr>
          <w:p>
            <w:pPr>
              <w:spacing w:after="0"/>
              <w:rPr>
                <w:sz w:val="1"/>
                <w:szCs w:val="1"/>
                <w:color w:val="auto"/>
              </w:rPr>
            </w:pPr>
          </w:p>
        </w:tc>
      </w:tr>
      <w:tr>
        <w:trPr>
          <w:trHeight w:val="214"/>
        </w:trPr>
        <w:tc>
          <w:tcPr>
            <w:tcW w:w="116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Number</w:t>
            </w:r>
          </w:p>
        </w:tc>
        <w:tc>
          <w:tcPr>
            <w:tcW w:w="20" w:type="dxa"/>
            <w:vAlign w:val="bottom"/>
          </w:tcPr>
          <w:p>
            <w:pPr>
              <w:spacing w:after="0"/>
              <w:rPr>
                <w:sz w:val="18"/>
                <w:szCs w:val="18"/>
                <w:color w:val="auto"/>
              </w:rPr>
            </w:pPr>
          </w:p>
        </w:tc>
        <w:tc>
          <w:tcPr>
            <w:tcW w:w="10100" w:type="dxa"/>
            <w:vAlign w:val="bottom"/>
            <w:gridSpan w:val="11"/>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84"/>
        </w:trPr>
        <w:tc>
          <w:tcPr>
            <w:tcW w:w="10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3.1</w:t>
            </w:r>
          </w:p>
        </w:tc>
        <w:tc>
          <w:tcPr>
            <w:tcW w:w="12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auto"/>
            </w:tcBorders>
            <w:shd w:val="clear" w:color="auto" w:fill="CCEEFF"/>
          </w:tcPr>
          <w:p>
            <w:pPr>
              <w:spacing w:after="0"/>
              <w:rPr>
                <w:sz w:val="16"/>
                <w:szCs w:val="16"/>
                <w:color w:val="auto"/>
              </w:rPr>
            </w:pPr>
          </w:p>
        </w:tc>
        <w:tc>
          <w:tcPr>
            <w:tcW w:w="10100" w:type="dxa"/>
            <w:vAlign w:val="bottom"/>
            <w:tcBorders>
              <w:top w:val="single" w:sz="8" w:color="auto"/>
            </w:tcBorders>
            <w:gridSpan w:val="11"/>
            <w:shd w:val="clear" w:color="auto" w:fill="CCEEFF"/>
          </w:tcPr>
          <w:p>
            <w:pPr>
              <w:spacing w:after="0"/>
              <w:rPr>
                <w:rFonts w:ascii="Times New Roman" w:cs="Times New Roman" w:eastAsia="Times New Roman" w:hAnsi="Times New Roman"/>
                <w:sz w:val="16"/>
                <w:szCs w:val="16"/>
                <w:color w:val="0000FF"/>
              </w:rPr>
            </w:pPr>
            <w:hyperlink r:id="rId101">
              <w:r>
                <w:rPr>
                  <w:rFonts w:ascii="Times New Roman" w:cs="Times New Roman" w:eastAsia="Times New Roman" w:hAnsi="Times New Roman"/>
                  <w:sz w:val="16"/>
                  <w:szCs w:val="16"/>
                  <w:color w:val="0000FF"/>
                </w:rPr>
                <w:t>Articles of Amendment and Restatement of BrightSpire Capital, Inc., as amended (incorporated by reference to Exhibit 3.1 to the Company’s Quarterly</w:t>
              </w:r>
            </w:hyperlink>
          </w:p>
        </w:tc>
        <w:tc>
          <w:tcPr>
            <w:tcW w:w="0" w:type="dxa"/>
            <w:vAlign w:val="bottom"/>
          </w:tcPr>
          <w:p>
            <w:pPr>
              <w:spacing w:after="0"/>
              <w:rPr>
                <w:sz w:val="1"/>
                <w:szCs w:val="1"/>
                <w:color w:val="auto"/>
              </w:rPr>
            </w:pPr>
          </w:p>
        </w:tc>
      </w:tr>
      <w:tr>
        <w:trPr>
          <w:trHeight w:val="163"/>
        </w:trPr>
        <w:tc>
          <w:tcPr>
            <w:tcW w:w="1040" w:type="dxa"/>
            <w:vAlign w:val="bottom"/>
            <w:tcBorders>
              <w:top w:val="single" w:sz="8" w:color="CCEEFF"/>
              <w:bottom w:val="single" w:sz="8" w:color="CCEEFF"/>
            </w:tcBorders>
            <w:shd w:val="clear" w:color="auto" w:fill="CCEEFF"/>
          </w:tcPr>
          <w:p>
            <w:pPr>
              <w:spacing w:after="0"/>
              <w:rPr>
                <w:sz w:val="14"/>
                <w:szCs w:val="14"/>
                <w:color w:val="auto"/>
              </w:rPr>
            </w:pPr>
          </w:p>
        </w:tc>
        <w:tc>
          <w:tcPr>
            <w:tcW w:w="120" w:type="dxa"/>
            <w:vAlign w:val="bottom"/>
            <w:tcBorders>
              <w:top w:val="single" w:sz="8" w:color="CCEEFF"/>
              <w:bottom w:val="single" w:sz="8" w:color="CCEEFF"/>
            </w:tcBorders>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6500" w:type="dxa"/>
            <w:vAlign w:val="bottom"/>
            <w:tcBorders>
              <w:top w:val="single" w:sz="8" w:color="0000FF"/>
              <w:bottom w:val="single" w:sz="8" w:color="0000FF"/>
            </w:tcBorders>
            <w:gridSpan w:val="4"/>
            <w:shd w:val="clear" w:color="auto" w:fill="CCEEFF"/>
          </w:tcPr>
          <w:p>
            <w:pPr>
              <w:spacing w:after="0" w:line="142" w:lineRule="exact"/>
              <w:rPr>
                <w:rFonts w:ascii="Times New Roman" w:cs="Times New Roman" w:eastAsia="Times New Roman" w:hAnsi="Times New Roman"/>
                <w:sz w:val="16"/>
                <w:szCs w:val="16"/>
                <w:color w:val="0000FF"/>
              </w:rPr>
            </w:pPr>
            <w:hyperlink r:id="rId101">
              <w:r>
                <w:rPr>
                  <w:rFonts w:ascii="Times New Roman" w:cs="Times New Roman" w:eastAsia="Times New Roman" w:hAnsi="Times New Roman"/>
                  <w:sz w:val="16"/>
                  <w:szCs w:val="16"/>
                  <w:color w:val="0000FF"/>
                </w:rPr>
                <w:t>Report on Form 10-Q (No. 001-38377) for the quarter ended June 30, 2021 filed on August 5, 2021)</w:t>
              </w:r>
            </w:hyperlink>
          </w:p>
        </w:tc>
        <w:tc>
          <w:tcPr>
            <w:tcW w:w="3520" w:type="dxa"/>
            <w:vAlign w:val="bottom"/>
            <w:tcBorders>
              <w:top w:val="single" w:sz="8" w:color="0000FF"/>
              <w:bottom w:val="single" w:sz="8" w:color="CCEEFF"/>
            </w:tcBorders>
            <w:gridSpan w:val="3"/>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10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3.2</w:t>
            </w: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100" w:type="dxa"/>
            <w:vAlign w:val="bottom"/>
            <w:gridSpan w:val="11"/>
          </w:tcPr>
          <w:p>
            <w:pPr>
              <w:spacing w:after="0"/>
              <w:rPr>
                <w:rFonts w:ascii="Times New Roman" w:cs="Times New Roman" w:eastAsia="Times New Roman" w:hAnsi="Times New Roman"/>
                <w:sz w:val="16"/>
                <w:szCs w:val="16"/>
                <w:color w:val="0000FF"/>
              </w:rPr>
            </w:pPr>
            <w:hyperlink r:id="rId102">
              <w:r>
                <w:rPr>
                  <w:rFonts w:ascii="Times New Roman" w:cs="Times New Roman" w:eastAsia="Times New Roman" w:hAnsi="Times New Roman"/>
                  <w:sz w:val="16"/>
                  <w:szCs w:val="16"/>
                  <w:color w:val="0000FF"/>
                </w:rPr>
                <w:t>Fifth Amended and Restated Bylaws of BrightSpire Capital, Inc., as amended (incorporated by reference to Exhibit 3.2 to the Company’s Quarterly</w:t>
              </w:r>
            </w:hyperlink>
          </w:p>
        </w:tc>
        <w:tc>
          <w:tcPr>
            <w:tcW w:w="0" w:type="dxa"/>
            <w:vAlign w:val="bottom"/>
          </w:tcPr>
          <w:p>
            <w:pPr>
              <w:spacing w:after="0"/>
              <w:rPr>
                <w:sz w:val="1"/>
                <w:szCs w:val="1"/>
                <w:color w:val="auto"/>
              </w:rPr>
            </w:pPr>
          </w:p>
        </w:tc>
      </w:tr>
      <w:tr>
        <w:trPr>
          <w:trHeight w:val="142"/>
        </w:trPr>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980" w:type="dxa"/>
            <w:vAlign w:val="bottom"/>
            <w:tcBorders>
              <w:top w:val="single" w:sz="8" w:color="0000FF"/>
            </w:tcBorders>
            <w:gridSpan w:val="5"/>
          </w:tcPr>
          <w:p>
            <w:pPr>
              <w:spacing w:after="0" w:line="142" w:lineRule="exact"/>
              <w:rPr>
                <w:rFonts w:ascii="Times New Roman" w:cs="Times New Roman" w:eastAsia="Times New Roman" w:hAnsi="Times New Roman"/>
                <w:sz w:val="16"/>
                <w:szCs w:val="16"/>
                <w:color w:val="0000FF"/>
              </w:rPr>
            </w:pPr>
            <w:hyperlink r:id="rId102">
              <w:r>
                <w:rPr>
                  <w:rFonts w:ascii="Times New Roman" w:cs="Times New Roman" w:eastAsia="Times New Roman" w:hAnsi="Times New Roman"/>
                  <w:sz w:val="16"/>
                  <w:szCs w:val="16"/>
                  <w:color w:val="0000FF"/>
                </w:rPr>
                <w:t>Report on Form 10-Q (No. 001-38377) for the quarter ended March 31, 2023 filed on May 3, 2023)</w:t>
              </w:r>
            </w:hyperlink>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
        </w:trPr>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Borders>
              <w:top w:val="single" w:sz="8" w:color="0000FF"/>
            </w:tcBorders>
          </w:tcPr>
          <w:p>
            <w:pPr>
              <w:spacing w:after="0" w:line="20" w:lineRule="exact"/>
              <w:rPr>
                <w:sz w:val="1"/>
                <w:szCs w:val="1"/>
                <w:color w:val="auto"/>
              </w:rPr>
            </w:pPr>
          </w:p>
        </w:tc>
        <w:tc>
          <w:tcPr>
            <w:tcW w:w="3880" w:type="dxa"/>
            <w:vAlign w:val="bottom"/>
            <w:tcBorders>
              <w:top w:val="single" w:sz="8" w:color="0000FF"/>
            </w:tcBorders>
          </w:tcPr>
          <w:p>
            <w:pPr>
              <w:spacing w:after="0" w:line="20" w:lineRule="exact"/>
              <w:rPr>
                <w:sz w:val="1"/>
                <w:szCs w:val="1"/>
                <w:color w:val="auto"/>
              </w:rPr>
            </w:pPr>
          </w:p>
        </w:tc>
        <w:tc>
          <w:tcPr>
            <w:tcW w:w="2080" w:type="dxa"/>
            <w:vAlign w:val="bottom"/>
            <w:tcBorders>
              <w:top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1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31.1*</w:t>
            </w:r>
          </w:p>
        </w:tc>
        <w:tc>
          <w:tcPr>
            <w:tcW w:w="1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100" w:type="dxa"/>
            <w:vAlign w:val="bottom"/>
            <w:gridSpan w:val="11"/>
            <w:shd w:val="clear" w:color="auto" w:fill="CCEEFF"/>
          </w:tcPr>
          <w:p>
            <w:pPr>
              <w:spacing w:after="0"/>
              <w:rPr>
                <w:sz w:val="20"/>
                <w:szCs w:val="20"/>
                <w:color w:val="auto"/>
              </w:rPr>
            </w:pPr>
            <w:r>
              <w:rPr>
                <w:rFonts w:ascii="Times New Roman" w:cs="Times New Roman" w:eastAsia="Times New Roman" w:hAnsi="Times New Roman"/>
                <w:sz w:val="16"/>
                <w:szCs w:val="16"/>
                <w:color w:val="0000FF"/>
              </w:rPr>
              <w:t>Certification by the Chief Executive Officer pursuant to 17 CFR 240.13a-14(a)/15d-14(a), as adopted pursuant to Section 302 of the Sarbanes-Oxley Act</w:t>
            </w:r>
          </w:p>
        </w:tc>
        <w:tc>
          <w:tcPr>
            <w:tcW w:w="0" w:type="dxa"/>
            <w:vAlign w:val="bottom"/>
          </w:tcPr>
          <w:p>
            <w:pPr>
              <w:spacing w:after="0"/>
              <w:rPr>
                <w:sz w:val="1"/>
                <w:szCs w:val="1"/>
                <w:color w:val="auto"/>
              </w:rPr>
            </w:pPr>
          </w:p>
        </w:tc>
      </w:tr>
      <w:tr>
        <w:trPr>
          <w:trHeight w:val="163"/>
        </w:trPr>
        <w:tc>
          <w:tcPr>
            <w:tcW w:w="1040" w:type="dxa"/>
            <w:vAlign w:val="bottom"/>
            <w:tcBorders>
              <w:top w:val="single" w:sz="8" w:color="CCEEFF"/>
              <w:bottom w:val="single" w:sz="8" w:color="CCEEFF"/>
            </w:tcBorders>
            <w:shd w:val="clear" w:color="auto" w:fill="CCEEFF"/>
          </w:tcPr>
          <w:p>
            <w:pPr>
              <w:spacing w:after="0"/>
              <w:rPr>
                <w:sz w:val="14"/>
                <w:szCs w:val="14"/>
                <w:color w:val="auto"/>
              </w:rPr>
            </w:pPr>
          </w:p>
        </w:tc>
        <w:tc>
          <w:tcPr>
            <w:tcW w:w="120" w:type="dxa"/>
            <w:vAlign w:val="bottom"/>
            <w:tcBorders>
              <w:top w:val="single" w:sz="8" w:color="CCEEFF"/>
              <w:bottom w:val="single" w:sz="8" w:color="CCEEFF"/>
            </w:tcBorders>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500" w:type="dxa"/>
            <w:vAlign w:val="bottom"/>
            <w:tcBorders>
              <w:top w:val="single" w:sz="8" w:color="0000FF"/>
              <w:bottom w:val="single" w:sz="8" w:color="0000FF"/>
            </w:tcBorders>
            <w:shd w:val="clear" w:color="auto" w:fill="CCEEFF"/>
          </w:tcPr>
          <w:p>
            <w:pPr>
              <w:spacing w:after="0" w:line="142" w:lineRule="exact"/>
              <w:rPr>
                <w:sz w:val="20"/>
                <w:szCs w:val="20"/>
                <w:color w:val="auto"/>
              </w:rPr>
            </w:pPr>
            <w:r>
              <w:rPr>
                <w:rFonts w:ascii="Times New Roman" w:cs="Times New Roman" w:eastAsia="Times New Roman" w:hAnsi="Times New Roman"/>
                <w:sz w:val="16"/>
                <w:szCs w:val="16"/>
                <w:color w:val="0000FF"/>
                <w:w w:val="97"/>
              </w:rPr>
              <w:t>of 2002</w:t>
            </w:r>
          </w:p>
        </w:tc>
        <w:tc>
          <w:tcPr>
            <w:tcW w:w="9560" w:type="dxa"/>
            <w:vAlign w:val="bottom"/>
            <w:tcBorders>
              <w:top w:val="single" w:sz="8" w:color="0000FF"/>
              <w:bottom w:val="single" w:sz="8" w:color="CCEEFF"/>
            </w:tcBorders>
            <w:gridSpan w:val="8"/>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10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31.2*</w:t>
            </w: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100" w:type="dxa"/>
            <w:vAlign w:val="bottom"/>
            <w:gridSpan w:val="11"/>
          </w:tcPr>
          <w:p>
            <w:pPr>
              <w:spacing w:after="0"/>
              <w:rPr>
                <w:sz w:val="20"/>
                <w:szCs w:val="20"/>
                <w:color w:val="auto"/>
              </w:rPr>
            </w:pPr>
            <w:r>
              <w:rPr>
                <w:rFonts w:ascii="Times New Roman" w:cs="Times New Roman" w:eastAsia="Times New Roman" w:hAnsi="Times New Roman"/>
                <w:sz w:val="16"/>
                <w:szCs w:val="16"/>
                <w:color w:val="0000FF"/>
              </w:rPr>
              <w:t>Certification by the Chief Financial Officer pursuant to 17 CFR 240.13a-14(a)/15d-14(a), as adopted pursuant to Section 302 of the Sarbanes-Oxley Act</w:t>
            </w:r>
          </w:p>
        </w:tc>
        <w:tc>
          <w:tcPr>
            <w:tcW w:w="0" w:type="dxa"/>
            <w:vAlign w:val="bottom"/>
          </w:tcPr>
          <w:p>
            <w:pPr>
              <w:spacing w:after="0"/>
              <w:rPr>
                <w:sz w:val="1"/>
                <w:szCs w:val="1"/>
                <w:color w:val="auto"/>
              </w:rPr>
            </w:pPr>
          </w:p>
        </w:tc>
      </w:tr>
      <w:tr>
        <w:trPr>
          <w:trHeight w:val="142"/>
        </w:trPr>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40" w:type="dxa"/>
            <w:vAlign w:val="bottom"/>
            <w:tcBorders>
              <w:top w:val="single" w:sz="8" w:color="0000FF"/>
            </w:tcBorders>
            <w:gridSpan w:val="8"/>
          </w:tcPr>
          <w:p>
            <w:pPr>
              <w:spacing w:after="0" w:line="142" w:lineRule="exact"/>
              <w:rPr>
                <w:sz w:val="20"/>
                <w:szCs w:val="20"/>
                <w:color w:val="auto"/>
              </w:rPr>
            </w:pPr>
            <w:r>
              <w:rPr>
                <w:rFonts w:ascii="Times New Roman" w:cs="Times New Roman" w:eastAsia="Times New Roman" w:hAnsi="Times New Roman"/>
                <w:sz w:val="16"/>
                <w:szCs w:val="16"/>
                <w:color w:val="0000FF"/>
              </w:rPr>
              <w:t>of 2002</w:t>
            </w: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
        </w:trPr>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Borders>
              <w:top w:val="single" w:sz="8" w:color="0000FF"/>
            </w:tcBorders>
          </w:tcPr>
          <w:p>
            <w:pPr>
              <w:spacing w:after="0" w:line="20" w:lineRule="exact"/>
              <w:rPr>
                <w:sz w:val="1"/>
                <w:szCs w:val="1"/>
                <w:color w:val="auto"/>
              </w:rPr>
            </w:pPr>
          </w:p>
        </w:tc>
        <w:tc>
          <w:tcPr>
            <w:tcW w:w="388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1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32.1*</w:t>
            </w:r>
          </w:p>
        </w:tc>
        <w:tc>
          <w:tcPr>
            <w:tcW w:w="1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100" w:type="dxa"/>
            <w:vAlign w:val="bottom"/>
            <w:gridSpan w:val="11"/>
            <w:shd w:val="clear" w:color="auto" w:fill="CCEEFF"/>
          </w:tcPr>
          <w:p>
            <w:pPr>
              <w:spacing w:after="0"/>
              <w:rPr>
                <w:sz w:val="20"/>
                <w:szCs w:val="20"/>
                <w:color w:val="auto"/>
              </w:rPr>
            </w:pPr>
            <w:r>
              <w:rPr>
                <w:rFonts w:ascii="Times New Roman" w:cs="Times New Roman" w:eastAsia="Times New Roman" w:hAnsi="Times New Roman"/>
                <w:sz w:val="16"/>
                <w:szCs w:val="16"/>
                <w:color w:val="0000FF"/>
              </w:rPr>
              <w:t>Certification by the Chief Executive Officer pursuant to Rule 13a-14(b) under the Securities Exchange Act of 1934 and 18 U.S.C. Section 1350, as</w:t>
            </w:r>
          </w:p>
        </w:tc>
        <w:tc>
          <w:tcPr>
            <w:tcW w:w="0" w:type="dxa"/>
            <w:vAlign w:val="bottom"/>
          </w:tcPr>
          <w:p>
            <w:pPr>
              <w:spacing w:after="0"/>
              <w:rPr>
                <w:sz w:val="1"/>
                <w:szCs w:val="1"/>
                <w:color w:val="auto"/>
              </w:rPr>
            </w:pPr>
          </w:p>
        </w:tc>
      </w:tr>
      <w:tr>
        <w:trPr>
          <w:trHeight w:val="142"/>
        </w:trPr>
        <w:tc>
          <w:tcPr>
            <w:tcW w:w="104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10000" w:type="dxa"/>
            <w:vAlign w:val="bottom"/>
            <w:tcBorders>
              <w:top w:val="single" w:sz="8" w:color="0000FF"/>
            </w:tcBorders>
            <w:gridSpan w:val="6"/>
            <w:shd w:val="clear" w:color="auto" w:fill="CCEEFF"/>
          </w:tcPr>
          <w:p>
            <w:pPr>
              <w:spacing w:after="0" w:line="142" w:lineRule="exact"/>
              <w:rPr>
                <w:sz w:val="20"/>
                <w:szCs w:val="20"/>
                <w:color w:val="auto"/>
              </w:rPr>
            </w:pPr>
            <w:r>
              <w:rPr>
                <w:rFonts w:ascii="Times New Roman" w:cs="Times New Roman" w:eastAsia="Times New Roman" w:hAnsi="Times New Roman"/>
                <w:sz w:val="16"/>
                <w:szCs w:val="16"/>
                <w:color w:val="0000FF"/>
              </w:rPr>
              <w:t>adopted pursuant to Section 906 of the Sarbanes-Oxley Act of 2002</w:t>
            </w:r>
          </w:p>
        </w:tc>
        <w:tc>
          <w:tcPr>
            <w:tcW w:w="80" w:type="dxa"/>
            <w:vAlign w:val="bottom"/>
            <w:tcBorders>
              <w:top w:val="single" w:sz="8" w:color="CCEEFF"/>
            </w:tcBorders>
            <w:gridSpan w:val="4"/>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1"/>
        </w:trPr>
        <w:tc>
          <w:tcPr>
            <w:tcW w:w="10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0000FF"/>
            </w:tcBorders>
            <w:shd w:val="clear" w:color="auto" w:fill="CCEEFF"/>
          </w:tcPr>
          <w:p>
            <w:pPr>
              <w:spacing w:after="0" w:line="20" w:lineRule="exact"/>
              <w:rPr>
                <w:sz w:val="1"/>
                <w:szCs w:val="1"/>
                <w:color w:val="auto"/>
              </w:rPr>
            </w:pPr>
          </w:p>
        </w:tc>
        <w:tc>
          <w:tcPr>
            <w:tcW w:w="3880" w:type="dxa"/>
            <w:vAlign w:val="bottom"/>
            <w:tcBorders>
              <w:top w:val="single" w:sz="8" w:color="0000FF"/>
            </w:tcBorders>
            <w:shd w:val="clear" w:color="auto" w:fill="CCEEFF"/>
          </w:tcPr>
          <w:p>
            <w:pPr>
              <w:spacing w:after="0" w:line="20" w:lineRule="exact"/>
              <w:rPr>
                <w:sz w:val="1"/>
                <w:szCs w:val="1"/>
                <w:color w:val="auto"/>
              </w:rPr>
            </w:pPr>
          </w:p>
        </w:tc>
        <w:tc>
          <w:tcPr>
            <w:tcW w:w="20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34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10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32.2*</w:t>
            </w: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100" w:type="dxa"/>
            <w:vAlign w:val="bottom"/>
            <w:gridSpan w:val="11"/>
          </w:tcPr>
          <w:p>
            <w:pPr>
              <w:spacing w:after="0"/>
              <w:rPr>
                <w:sz w:val="20"/>
                <w:szCs w:val="20"/>
                <w:color w:val="auto"/>
              </w:rPr>
            </w:pPr>
            <w:r>
              <w:rPr>
                <w:rFonts w:ascii="Times New Roman" w:cs="Times New Roman" w:eastAsia="Times New Roman" w:hAnsi="Times New Roman"/>
                <w:sz w:val="16"/>
                <w:szCs w:val="16"/>
                <w:color w:val="0000FF"/>
              </w:rPr>
              <w:t>Certification by the Chief Financial Officer pursuant to Rule 13a-14(b) under the Securities Exchange Act of 1934 and 18 U.S.C. Section 1350, as</w:t>
            </w:r>
          </w:p>
        </w:tc>
        <w:tc>
          <w:tcPr>
            <w:tcW w:w="0" w:type="dxa"/>
            <w:vAlign w:val="bottom"/>
          </w:tcPr>
          <w:p>
            <w:pPr>
              <w:spacing w:after="0"/>
              <w:rPr>
                <w:sz w:val="1"/>
                <w:szCs w:val="1"/>
                <w:color w:val="auto"/>
              </w:rPr>
            </w:pPr>
          </w:p>
        </w:tc>
      </w:tr>
      <w:tr>
        <w:trPr>
          <w:trHeight w:val="142"/>
        </w:trPr>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80" w:type="dxa"/>
            <w:vAlign w:val="bottom"/>
            <w:tcBorders>
              <w:top w:val="single" w:sz="8" w:color="0000FF"/>
            </w:tcBorders>
            <w:gridSpan w:val="10"/>
          </w:tcPr>
          <w:p>
            <w:pPr>
              <w:spacing w:after="0" w:line="142" w:lineRule="exact"/>
              <w:rPr>
                <w:sz w:val="20"/>
                <w:szCs w:val="20"/>
                <w:color w:val="auto"/>
              </w:rPr>
            </w:pPr>
            <w:r>
              <w:rPr>
                <w:rFonts w:ascii="Times New Roman" w:cs="Times New Roman" w:eastAsia="Times New Roman" w:hAnsi="Times New Roman"/>
                <w:sz w:val="16"/>
                <w:szCs w:val="16"/>
                <w:color w:val="0000FF"/>
              </w:rPr>
              <w:t>adopted pursuant to Section 906 of the Sarbanes-Oxley Act of 2002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
        </w:trPr>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Borders>
              <w:top w:val="single" w:sz="8" w:color="0000FF"/>
            </w:tcBorders>
          </w:tcPr>
          <w:p>
            <w:pPr>
              <w:spacing w:after="0" w:line="20" w:lineRule="exact"/>
              <w:rPr>
                <w:sz w:val="1"/>
                <w:szCs w:val="1"/>
                <w:color w:val="auto"/>
              </w:rPr>
            </w:pPr>
          </w:p>
        </w:tc>
        <w:tc>
          <w:tcPr>
            <w:tcW w:w="3880" w:type="dxa"/>
            <w:vAlign w:val="bottom"/>
            <w:tcBorders>
              <w:top w:val="single" w:sz="8" w:color="0000FF"/>
            </w:tcBorders>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1160" w:type="dxa"/>
            <w:vAlign w:val="bottom"/>
            <w:gridSpan w:val="2"/>
            <w:shd w:val="clear" w:color="auto" w:fill="CCEEFF"/>
          </w:tcPr>
          <w:p>
            <w:pPr>
              <w:ind w:left="20"/>
              <w:spacing w:after="0" w:line="175" w:lineRule="exact"/>
              <w:rPr>
                <w:sz w:val="20"/>
                <w:szCs w:val="20"/>
                <w:color w:val="auto"/>
              </w:rPr>
            </w:pPr>
            <w:r>
              <w:rPr>
                <w:rFonts w:ascii="Times New Roman" w:cs="Times New Roman" w:eastAsia="Times New Roman" w:hAnsi="Times New Roman"/>
                <w:sz w:val="16"/>
                <w:szCs w:val="16"/>
                <w:color w:val="auto"/>
              </w:rPr>
              <w:t>101.INS*</w:t>
            </w:r>
          </w:p>
        </w:tc>
        <w:tc>
          <w:tcPr>
            <w:tcW w:w="20" w:type="dxa"/>
            <w:vAlign w:val="bottom"/>
            <w:shd w:val="clear" w:color="auto" w:fill="CCEEFF"/>
          </w:tcPr>
          <w:p>
            <w:pPr>
              <w:spacing w:after="0"/>
              <w:rPr>
                <w:sz w:val="15"/>
                <w:szCs w:val="15"/>
                <w:color w:val="auto"/>
              </w:rPr>
            </w:pPr>
          </w:p>
        </w:tc>
        <w:tc>
          <w:tcPr>
            <w:tcW w:w="10100" w:type="dxa"/>
            <w:vAlign w:val="bottom"/>
            <w:gridSpan w:val="11"/>
            <w:shd w:val="clear" w:color="auto" w:fill="CCEEFF"/>
          </w:tcPr>
          <w:p>
            <w:pPr>
              <w:spacing w:after="0" w:line="175" w:lineRule="exact"/>
              <w:rPr>
                <w:sz w:val="20"/>
                <w:szCs w:val="20"/>
                <w:color w:val="auto"/>
              </w:rPr>
            </w:pPr>
            <w:r>
              <w:rPr>
                <w:rFonts w:ascii="Times New Roman" w:cs="Times New Roman" w:eastAsia="Times New Roman" w:hAnsi="Times New Roman"/>
                <w:sz w:val="16"/>
                <w:szCs w:val="16"/>
                <w:color w:val="auto"/>
              </w:rPr>
              <w:t>XBRL Instance Document - the instance document does not appear in the Interactive Data File because its XBRL tags are embedded within the Inline</w:t>
            </w:r>
          </w:p>
        </w:tc>
        <w:tc>
          <w:tcPr>
            <w:tcW w:w="0" w:type="dxa"/>
            <w:vAlign w:val="bottom"/>
          </w:tcPr>
          <w:p>
            <w:pPr>
              <w:spacing w:after="0"/>
              <w:rPr>
                <w:sz w:val="1"/>
                <w:szCs w:val="1"/>
                <w:color w:val="auto"/>
              </w:rPr>
            </w:pPr>
          </w:p>
        </w:tc>
      </w:tr>
      <w:tr>
        <w:trPr>
          <w:trHeight w:val="216"/>
        </w:trPr>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100" w:type="dxa"/>
            <w:vAlign w:val="bottom"/>
            <w:gridSpan w:val="11"/>
            <w:shd w:val="clear" w:color="auto" w:fill="CCEEFF"/>
          </w:tcPr>
          <w:p>
            <w:pPr>
              <w:spacing w:after="0"/>
              <w:rPr>
                <w:sz w:val="20"/>
                <w:szCs w:val="20"/>
                <w:color w:val="auto"/>
              </w:rPr>
            </w:pPr>
            <w:r>
              <w:rPr>
                <w:rFonts w:ascii="Times New Roman" w:cs="Times New Roman" w:eastAsia="Times New Roman" w:hAnsi="Times New Roman"/>
                <w:sz w:val="16"/>
                <w:szCs w:val="16"/>
                <w:color w:val="auto"/>
              </w:rPr>
              <w:t>XBRL document</w:t>
            </w:r>
          </w:p>
        </w:tc>
        <w:tc>
          <w:tcPr>
            <w:tcW w:w="0" w:type="dxa"/>
            <w:vAlign w:val="bottom"/>
          </w:tcPr>
          <w:p>
            <w:pPr>
              <w:spacing w:after="0"/>
              <w:rPr>
                <w:sz w:val="1"/>
                <w:szCs w:val="1"/>
                <w:color w:val="auto"/>
              </w:rPr>
            </w:pPr>
          </w:p>
        </w:tc>
      </w:tr>
      <w:tr>
        <w:trPr>
          <w:trHeight w:val="227"/>
        </w:trPr>
        <w:tc>
          <w:tcPr>
            <w:tcW w:w="11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101.SCH*</w:t>
            </w:r>
          </w:p>
        </w:tc>
        <w:tc>
          <w:tcPr>
            <w:tcW w:w="20" w:type="dxa"/>
            <w:vAlign w:val="bottom"/>
          </w:tcPr>
          <w:p>
            <w:pPr>
              <w:spacing w:after="0"/>
              <w:rPr>
                <w:sz w:val="19"/>
                <w:szCs w:val="19"/>
                <w:color w:val="auto"/>
              </w:rPr>
            </w:pPr>
          </w:p>
        </w:tc>
        <w:tc>
          <w:tcPr>
            <w:tcW w:w="10100" w:type="dxa"/>
            <w:vAlign w:val="bottom"/>
            <w:gridSpan w:val="11"/>
          </w:tcPr>
          <w:p>
            <w:pPr>
              <w:spacing w:after="0"/>
              <w:rPr>
                <w:sz w:val="20"/>
                <w:szCs w:val="20"/>
                <w:color w:val="auto"/>
              </w:rPr>
            </w:pPr>
            <w:r>
              <w:rPr>
                <w:rFonts w:ascii="Times New Roman" w:cs="Times New Roman" w:eastAsia="Times New Roman" w:hAnsi="Times New Roman"/>
                <w:sz w:val="16"/>
                <w:szCs w:val="16"/>
                <w:color w:val="auto"/>
              </w:rPr>
              <w:t>Inline XBRL Taxonomy Extension Schema Document</w:t>
            </w:r>
          </w:p>
        </w:tc>
        <w:tc>
          <w:tcPr>
            <w:tcW w:w="0" w:type="dxa"/>
            <w:vAlign w:val="bottom"/>
          </w:tcPr>
          <w:p>
            <w:pPr>
              <w:spacing w:after="0"/>
              <w:rPr>
                <w:sz w:val="1"/>
                <w:szCs w:val="1"/>
                <w:color w:val="auto"/>
              </w:rPr>
            </w:pPr>
          </w:p>
        </w:tc>
      </w:tr>
      <w:tr>
        <w:trPr>
          <w:trHeight w:val="233"/>
        </w:trPr>
        <w:tc>
          <w:tcPr>
            <w:tcW w:w="1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101.CAL*</w:t>
            </w:r>
          </w:p>
        </w:tc>
        <w:tc>
          <w:tcPr>
            <w:tcW w:w="20" w:type="dxa"/>
            <w:vAlign w:val="bottom"/>
            <w:shd w:val="clear" w:color="auto" w:fill="CCEEFF"/>
          </w:tcPr>
          <w:p>
            <w:pPr>
              <w:spacing w:after="0"/>
              <w:rPr>
                <w:sz w:val="20"/>
                <w:szCs w:val="20"/>
                <w:color w:val="auto"/>
              </w:rPr>
            </w:pPr>
          </w:p>
        </w:tc>
        <w:tc>
          <w:tcPr>
            <w:tcW w:w="10100" w:type="dxa"/>
            <w:vAlign w:val="bottom"/>
            <w:gridSpan w:val="11"/>
            <w:shd w:val="clear" w:color="auto" w:fill="CCEEFF"/>
          </w:tcPr>
          <w:p>
            <w:pPr>
              <w:spacing w:after="0"/>
              <w:rPr>
                <w:sz w:val="20"/>
                <w:szCs w:val="20"/>
                <w:color w:val="auto"/>
              </w:rPr>
            </w:pPr>
            <w:r>
              <w:rPr>
                <w:rFonts w:ascii="Times New Roman" w:cs="Times New Roman" w:eastAsia="Times New Roman" w:hAnsi="Times New Roman"/>
                <w:sz w:val="16"/>
                <w:szCs w:val="16"/>
                <w:color w:val="auto"/>
              </w:rPr>
              <w:t>Inline XBRL Taxonomy Extension Calculation Linkbase Document</w:t>
            </w:r>
          </w:p>
        </w:tc>
        <w:tc>
          <w:tcPr>
            <w:tcW w:w="0" w:type="dxa"/>
            <w:vAlign w:val="bottom"/>
          </w:tcPr>
          <w:p>
            <w:pPr>
              <w:spacing w:after="0"/>
              <w:rPr>
                <w:sz w:val="1"/>
                <w:szCs w:val="1"/>
                <w:color w:val="auto"/>
              </w:rPr>
            </w:pPr>
          </w:p>
        </w:tc>
      </w:tr>
      <w:tr>
        <w:trPr>
          <w:trHeight w:val="227"/>
        </w:trPr>
        <w:tc>
          <w:tcPr>
            <w:tcW w:w="11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101.DEF*</w:t>
            </w:r>
          </w:p>
        </w:tc>
        <w:tc>
          <w:tcPr>
            <w:tcW w:w="20" w:type="dxa"/>
            <w:vAlign w:val="bottom"/>
          </w:tcPr>
          <w:p>
            <w:pPr>
              <w:spacing w:after="0"/>
              <w:rPr>
                <w:sz w:val="19"/>
                <w:szCs w:val="19"/>
                <w:color w:val="auto"/>
              </w:rPr>
            </w:pPr>
          </w:p>
        </w:tc>
        <w:tc>
          <w:tcPr>
            <w:tcW w:w="10100" w:type="dxa"/>
            <w:vAlign w:val="bottom"/>
            <w:gridSpan w:val="11"/>
          </w:tcPr>
          <w:p>
            <w:pPr>
              <w:spacing w:after="0"/>
              <w:rPr>
                <w:sz w:val="20"/>
                <w:szCs w:val="20"/>
                <w:color w:val="auto"/>
              </w:rPr>
            </w:pPr>
            <w:r>
              <w:rPr>
                <w:rFonts w:ascii="Times New Roman" w:cs="Times New Roman" w:eastAsia="Times New Roman" w:hAnsi="Times New Roman"/>
                <w:sz w:val="16"/>
                <w:szCs w:val="16"/>
                <w:color w:val="auto"/>
              </w:rPr>
              <w:t>Inline XBRL Taxonomy Extension Definition Linkbase Document</w:t>
            </w:r>
          </w:p>
        </w:tc>
        <w:tc>
          <w:tcPr>
            <w:tcW w:w="0" w:type="dxa"/>
            <w:vAlign w:val="bottom"/>
          </w:tcPr>
          <w:p>
            <w:pPr>
              <w:spacing w:after="0"/>
              <w:rPr>
                <w:sz w:val="1"/>
                <w:szCs w:val="1"/>
                <w:color w:val="auto"/>
              </w:rPr>
            </w:pPr>
          </w:p>
        </w:tc>
      </w:tr>
      <w:tr>
        <w:trPr>
          <w:trHeight w:val="233"/>
        </w:trPr>
        <w:tc>
          <w:tcPr>
            <w:tcW w:w="1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101.LAB*</w:t>
            </w:r>
          </w:p>
        </w:tc>
        <w:tc>
          <w:tcPr>
            <w:tcW w:w="20" w:type="dxa"/>
            <w:vAlign w:val="bottom"/>
            <w:shd w:val="clear" w:color="auto" w:fill="CCEEFF"/>
          </w:tcPr>
          <w:p>
            <w:pPr>
              <w:spacing w:after="0"/>
              <w:rPr>
                <w:sz w:val="20"/>
                <w:szCs w:val="20"/>
                <w:color w:val="auto"/>
              </w:rPr>
            </w:pPr>
          </w:p>
        </w:tc>
        <w:tc>
          <w:tcPr>
            <w:tcW w:w="10100" w:type="dxa"/>
            <w:vAlign w:val="bottom"/>
            <w:gridSpan w:val="11"/>
            <w:shd w:val="clear" w:color="auto" w:fill="CCEEFF"/>
          </w:tcPr>
          <w:p>
            <w:pPr>
              <w:spacing w:after="0"/>
              <w:rPr>
                <w:sz w:val="20"/>
                <w:szCs w:val="20"/>
                <w:color w:val="auto"/>
              </w:rPr>
            </w:pPr>
            <w:r>
              <w:rPr>
                <w:rFonts w:ascii="Times New Roman" w:cs="Times New Roman" w:eastAsia="Times New Roman" w:hAnsi="Times New Roman"/>
                <w:sz w:val="16"/>
                <w:szCs w:val="16"/>
                <w:color w:val="auto"/>
              </w:rPr>
              <w:t>Inline XBRL Taxonomy Extension Label Linkbase Document</w:t>
            </w:r>
          </w:p>
        </w:tc>
        <w:tc>
          <w:tcPr>
            <w:tcW w:w="0" w:type="dxa"/>
            <w:vAlign w:val="bottom"/>
          </w:tcPr>
          <w:p>
            <w:pPr>
              <w:spacing w:after="0"/>
              <w:rPr>
                <w:sz w:val="1"/>
                <w:szCs w:val="1"/>
                <w:color w:val="auto"/>
              </w:rPr>
            </w:pPr>
          </w:p>
        </w:tc>
      </w:tr>
      <w:tr>
        <w:trPr>
          <w:trHeight w:val="227"/>
        </w:trPr>
        <w:tc>
          <w:tcPr>
            <w:tcW w:w="11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101.PRE*</w:t>
            </w:r>
          </w:p>
        </w:tc>
        <w:tc>
          <w:tcPr>
            <w:tcW w:w="20" w:type="dxa"/>
            <w:vAlign w:val="bottom"/>
          </w:tcPr>
          <w:p>
            <w:pPr>
              <w:spacing w:after="0"/>
              <w:rPr>
                <w:sz w:val="19"/>
                <w:szCs w:val="19"/>
                <w:color w:val="auto"/>
              </w:rPr>
            </w:pPr>
          </w:p>
        </w:tc>
        <w:tc>
          <w:tcPr>
            <w:tcW w:w="10100" w:type="dxa"/>
            <w:vAlign w:val="bottom"/>
            <w:gridSpan w:val="11"/>
          </w:tcPr>
          <w:p>
            <w:pPr>
              <w:spacing w:after="0"/>
              <w:rPr>
                <w:sz w:val="20"/>
                <w:szCs w:val="20"/>
                <w:color w:val="auto"/>
              </w:rPr>
            </w:pPr>
            <w:r>
              <w:rPr>
                <w:rFonts w:ascii="Times New Roman" w:cs="Times New Roman" w:eastAsia="Times New Roman" w:hAnsi="Times New Roman"/>
                <w:sz w:val="16"/>
                <w:szCs w:val="16"/>
                <w:color w:val="auto"/>
              </w:rPr>
              <w:t>Inline XBRL Taxonomy Extension Presentation Linkbase Document</w:t>
            </w:r>
          </w:p>
        </w:tc>
        <w:tc>
          <w:tcPr>
            <w:tcW w:w="0" w:type="dxa"/>
            <w:vAlign w:val="bottom"/>
          </w:tcPr>
          <w:p>
            <w:pPr>
              <w:spacing w:after="0"/>
              <w:rPr>
                <w:sz w:val="1"/>
                <w:szCs w:val="1"/>
                <w:color w:val="auto"/>
              </w:rPr>
            </w:pPr>
          </w:p>
        </w:tc>
      </w:tr>
      <w:tr>
        <w:trPr>
          <w:trHeight w:val="233"/>
        </w:trPr>
        <w:tc>
          <w:tcPr>
            <w:tcW w:w="1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104</w:t>
            </w:r>
          </w:p>
        </w:tc>
        <w:tc>
          <w:tcPr>
            <w:tcW w:w="1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100" w:type="dxa"/>
            <w:vAlign w:val="bottom"/>
            <w:gridSpan w:val="11"/>
            <w:shd w:val="clear" w:color="auto" w:fill="CCEEFF"/>
          </w:tcPr>
          <w:p>
            <w:pPr>
              <w:spacing w:after="0"/>
              <w:rPr>
                <w:sz w:val="20"/>
                <w:szCs w:val="20"/>
                <w:color w:val="auto"/>
              </w:rPr>
            </w:pPr>
            <w:r>
              <w:rPr>
                <w:rFonts w:ascii="Times New Roman" w:cs="Times New Roman" w:eastAsia="Times New Roman" w:hAnsi="Times New Roman"/>
                <w:sz w:val="16"/>
                <w:szCs w:val="16"/>
                <w:color w:val="auto"/>
              </w:rPr>
              <w:t>Cover Page Interactive Data File (formatted as Inline XBRL and contained in Exhibit 101)</w:t>
            </w:r>
          </w:p>
        </w:tc>
        <w:tc>
          <w:tcPr>
            <w:tcW w:w="0" w:type="dxa"/>
            <w:vAlign w:val="bottom"/>
          </w:tcPr>
          <w:p>
            <w:pPr>
              <w:spacing w:after="0"/>
              <w:rPr>
                <w:sz w:val="1"/>
                <w:szCs w:val="1"/>
                <w:color w:val="auto"/>
              </w:rPr>
            </w:pPr>
          </w:p>
        </w:tc>
      </w:tr>
    </w:tbl>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______________________________________</w:t>
      </w:r>
    </w:p>
    <w:p>
      <w:pPr>
        <w:spacing w:after="0" w:line="113" w:lineRule="exact"/>
        <w:rPr>
          <w:sz w:val="20"/>
          <w:szCs w:val="20"/>
          <w:color w:val="auto"/>
        </w:rPr>
      </w:pPr>
    </w:p>
    <w:p>
      <w:pPr>
        <w:spacing w:after="0"/>
        <w:tabs>
          <w:tab w:leader="none" w:pos="26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7"/>
          <w:szCs w:val="17"/>
          <w:color w:val="auto"/>
        </w:rPr>
        <w:t>Filed herewith</w:t>
      </w:r>
    </w:p>
    <w:p>
      <w:pPr>
        <w:spacing w:after="0" w:line="50" w:lineRule="exact"/>
        <w:rPr>
          <w:sz w:val="20"/>
          <w:szCs w:val="20"/>
          <w:color w:val="auto"/>
        </w:rPr>
      </w:pPr>
    </w:p>
    <w:p>
      <w:pPr>
        <w:ind w:left="5540" w:right="5160" w:hanging="5532"/>
        <w:spacing w:after="0" w:line="616" w:lineRule="auto"/>
        <w:tabs>
          <w:tab w:leader="none" w:pos="284" w:val="left"/>
        </w:tabs>
        <w:numPr>
          <w:ilvl w:val="0"/>
          <w:numId w:val="4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Denotes a management contract or compensatory plan, contract or arrangement. 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374650</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82" w:name="page83"/>
    <w:bookmarkEnd w:id="8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3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October 28, 2026</w:t>
      </w:r>
    </w:p>
    <w:p>
      <w:pPr>
        <w:spacing w:after="0" w:line="333" w:lineRule="exact"/>
        <w:rPr>
          <w:sz w:val="20"/>
          <w:szCs w:val="20"/>
          <w:color w:val="auto"/>
        </w:rPr>
      </w:pPr>
    </w:p>
    <w:p>
      <w:pPr>
        <w:ind w:left="3920"/>
        <w:spacing w:after="0"/>
        <w:rPr>
          <w:sz w:val="20"/>
          <w:szCs w:val="20"/>
          <w:color w:val="auto"/>
        </w:rPr>
      </w:pPr>
      <w:r>
        <w:rPr>
          <w:rFonts w:ascii="Times New Roman" w:cs="Times New Roman" w:eastAsia="Times New Roman" w:hAnsi="Times New Roman"/>
          <w:sz w:val="18"/>
          <w:szCs w:val="18"/>
          <w:color w:val="auto"/>
        </w:rPr>
        <w:t>BRIGHTSPIRE CAPITAL, INC.</w:t>
      </w:r>
    </w:p>
    <w:p>
      <w:pPr>
        <w:spacing w:after="0" w:line="200" w:lineRule="exact"/>
        <w:rPr>
          <w:sz w:val="20"/>
          <w:szCs w:val="20"/>
          <w:color w:val="auto"/>
        </w:rPr>
      </w:pPr>
    </w:p>
    <w:p>
      <w:pPr>
        <w:spacing w:after="0" w:line="201" w:lineRule="exact"/>
        <w:rPr>
          <w:sz w:val="20"/>
          <w:szCs w:val="20"/>
          <w:color w:val="auto"/>
        </w:rPr>
      </w:pPr>
    </w:p>
    <w:p>
      <w:pPr>
        <w:ind w:left="3920"/>
        <w:spacing w:after="0"/>
        <w:tabs>
          <w:tab w:leader="none" w:pos="574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Michael J. Mazzei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2919730</wp:posOffset>
            </wp:positionH>
            <wp:positionV relativeFrom="paragraph">
              <wp:posOffset>17145</wp:posOffset>
            </wp:positionV>
            <wp:extent cx="2451735"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4">
                      <a:extLst>
                        <a:ext uri="{28A0092B-C50C-407E-A947-70E740481C1C}"/>
                      </a:extLst>
                    </a:blip>
                    <a:srcRect/>
                    <a:stretch>
                      <a:fillRect/>
                    </a:stretch>
                  </pic:blipFill>
                  <pic:spPr bwMode="auto">
                    <a:xfrm>
                      <a:off x="0" y="0"/>
                      <a:ext cx="2451735" cy="8255"/>
                    </a:xfrm>
                    <a:prstGeom prst="rect">
                      <a:avLst/>
                    </a:prstGeom>
                    <a:noFill/>
                  </pic:spPr>
                </pic:pic>
              </a:graphicData>
            </a:graphic>
          </wp:anchor>
        </w:drawing>
      </w:r>
    </w:p>
    <w:p>
      <w:pPr>
        <w:spacing w:after="0" w:line="26" w:lineRule="exact"/>
        <w:rPr>
          <w:sz w:val="20"/>
          <w:szCs w:val="20"/>
          <w:color w:val="auto"/>
        </w:rPr>
      </w:pPr>
    </w:p>
    <w:p>
      <w:pPr>
        <w:jc w:val="center"/>
        <w:ind w:left="1800"/>
        <w:spacing w:after="0"/>
        <w:rPr>
          <w:sz w:val="20"/>
          <w:szCs w:val="20"/>
          <w:color w:val="auto"/>
        </w:rPr>
      </w:pPr>
      <w:r>
        <w:rPr>
          <w:rFonts w:ascii="Times New Roman" w:cs="Times New Roman" w:eastAsia="Times New Roman" w:hAnsi="Times New Roman"/>
          <w:sz w:val="18"/>
          <w:szCs w:val="18"/>
          <w:b w:val="1"/>
          <w:bCs w:val="1"/>
          <w:color w:val="auto"/>
        </w:rPr>
        <w:t>Michael J. Mazzei</w:t>
      </w:r>
    </w:p>
    <w:p>
      <w:pPr>
        <w:spacing w:after="0" w:line="36" w:lineRule="exact"/>
        <w:rPr>
          <w:sz w:val="20"/>
          <w:szCs w:val="20"/>
          <w:color w:val="auto"/>
        </w:rPr>
      </w:pPr>
    </w:p>
    <w:p>
      <w:pPr>
        <w:jc w:val="center"/>
        <w:ind w:left="1800"/>
        <w:spacing w:after="0"/>
        <w:rPr>
          <w:sz w:val="20"/>
          <w:szCs w:val="20"/>
          <w:color w:val="auto"/>
        </w:rPr>
      </w:pPr>
      <w:r>
        <w:rPr>
          <w:rFonts w:ascii="Times New Roman" w:cs="Times New Roman" w:eastAsia="Times New Roman" w:hAnsi="Times New Roman"/>
          <w:sz w:val="18"/>
          <w:szCs w:val="18"/>
          <w:b w:val="1"/>
          <w:bCs w:val="1"/>
          <w:color w:val="auto"/>
        </w:rPr>
        <w:t>Chief Executive Officer</w:t>
      </w:r>
    </w:p>
    <w:p>
      <w:pPr>
        <w:spacing w:after="0" w:line="36" w:lineRule="exact"/>
        <w:rPr>
          <w:sz w:val="20"/>
          <w:szCs w:val="20"/>
          <w:color w:val="auto"/>
        </w:rPr>
      </w:pPr>
    </w:p>
    <w:p>
      <w:pPr>
        <w:jc w:val="center"/>
        <w:ind w:left="1800"/>
        <w:spacing w:after="0"/>
        <w:rPr>
          <w:sz w:val="20"/>
          <w:szCs w:val="20"/>
          <w:color w:val="auto"/>
        </w:rPr>
      </w:pPr>
      <w:r>
        <w:rPr>
          <w:rFonts w:ascii="Times New Roman" w:cs="Times New Roman" w:eastAsia="Times New Roman" w:hAnsi="Times New Roman"/>
          <w:sz w:val="18"/>
          <w:szCs w:val="18"/>
          <w:b w:val="1"/>
          <w:bCs w:val="1"/>
          <w:color w:val="auto"/>
        </w:rPr>
        <w:t>(Principal Executive Officer)</w:t>
      </w:r>
    </w:p>
    <w:p>
      <w:pPr>
        <w:spacing w:after="0" w:line="297" w:lineRule="exact"/>
        <w:rPr>
          <w:sz w:val="20"/>
          <w:szCs w:val="20"/>
          <w:color w:val="auto"/>
        </w:rPr>
      </w:pPr>
    </w:p>
    <w:p>
      <w:pPr>
        <w:ind w:left="3920"/>
        <w:spacing w:after="0"/>
        <w:tabs>
          <w:tab w:leader="none" w:pos="57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Frank V. Saracino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2919730</wp:posOffset>
            </wp:positionH>
            <wp:positionV relativeFrom="paragraph">
              <wp:posOffset>17145</wp:posOffset>
            </wp:positionV>
            <wp:extent cx="2451735"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5">
                      <a:extLst>
                        <a:ext uri="{28A0092B-C50C-407E-A947-70E740481C1C}"/>
                      </a:extLst>
                    </a:blip>
                    <a:srcRect/>
                    <a:stretch>
                      <a:fillRect/>
                    </a:stretch>
                  </pic:blipFill>
                  <pic:spPr bwMode="auto">
                    <a:xfrm>
                      <a:off x="0" y="0"/>
                      <a:ext cx="2451735" cy="8255"/>
                    </a:xfrm>
                    <a:prstGeom prst="rect">
                      <a:avLst/>
                    </a:prstGeom>
                    <a:noFill/>
                  </pic:spPr>
                </pic:pic>
              </a:graphicData>
            </a:graphic>
          </wp:anchor>
        </w:drawing>
      </w:r>
    </w:p>
    <w:p>
      <w:pPr>
        <w:spacing w:after="0" w:line="26" w:lineRule="exact"/>
        <w:rPr>
          <w:sz w:val="20"/>
          <w:szCs w:val="20"/>
          <w:color w:val="auto"/>
        </w:rPr>
      </w:pPr>
    </w:p>
    <w:p>
      <w:pPr>
        <w:jc w:val="center"/>
        <w:ind w:left="1800"/>
        <w:spacing w:after="0"/>
        <w:rPr>
          <w:sz w:val="20"/>
          <w:szCs w:val="20"/>
          <w:color w:val="auto"/>
        </w:rPr>
      </w:pPr>
      <w:r>
        <w:rPr>
          <w:rFonts w:ascii="Times New Roman" w:cs="Times New Roman" w:eastAsia="Times New Roman" w:hAnsi="Times New Roman"/>
          <w:sz w:val="18"/>
          <w:szCs w:val="18"/>
          <w:b w:val="1"/>
          <w:bCs w:val="1"/>
          <w:color w:val="auto"/>
        </w:rPr>
        <w:t>Frank V. Saracino</w:t>
      </w:r>
    </w:p>
    <w:p>
      <w:pPr>
        <w:spacing w:after="0" w:line="36" w:lineRule="exact"/>
        <w:rPr>
          <w:sz w:val="20"/>
          <w:szCs w:val="20"/>
          <w:color w:val="auto"/>
        </w:rPr>
      </w:pPr>
    </w:p>
    <w:p>
      <w:pPr>
        <w:jc w:val="center"/>
        <w:ind w:left="1800"/>
        <w:spacing w:after="0"/>
        <w:rPr>
          <w:sz w:val="20"/>
          <w:szCs w:val="20"/>
          <w:color w:val="auto"/>
        </w:rPr>
      </w:pPr>
      <w:r>
        <w:rPr>
          <w:rFonts w:ascii="Times New Roman" w:cs="Times New Roman" w:eastAsia="Times New Roman" w:hAnsi="Times New Roman"/>
          <w:sz w:val="18"/>
          <w:szCs w:val="18"/>
          <w:b w:val="1"/>
          <w:bCs w:val="1"/>
          <w:color w:val="auto"/>
        </w:rPr>
        <w:t>Chief Financial Officer</w:t>
      </w:r>
    </w:p>
    <w:p>
      <w:pPr>
        <w:spacing w:after="0" w:line="36" w:lineRule="exact"/>
        <w:rPr>
          <w:sz w:val="20"/>
          <w:szCs w:val="20"/>
          <w:color w:val="auto"/>
        </w:rPr>
      </w:pPr>
    </w:p>
    <w:p>
      <w:pPr>
        <w:jc w:val="center"/>
        <w:ind w:left="1800"/>
        <w:spacing w:after="0"/>
        <w:rPr>
          <w:sz w:val="20"/>
          <w:szCs w:val="20"/>
          <w:color w:val="auto"/>
        </w:rPr>
      </w:pPr>
      <w:r>
        <w:rPr>
          <w:rFonts w:ascii="Times New Roman" w:cs="Times New Roman" w:eastAsia="Times New Roman" w:hAnsi="Times New Roman"/>
          <w:sz w:val="18"/>
          <w:szCs w:val="18"/>
          <w:b w:val="1"/>
          <w:bCs w:val="1"/>
          <w:color w:val="auto"/>
        </w:rPr>
        <w:t>(Principal Accounting Officer)</w:t>
      </w:r>
    </w:p>
    <w:p>
      <w:pPr>
        <w:sectPr>
          <w:pgSz w:w="11900" w:h="16838" w:orient="portrait"/>
          <w:cols w:equalWidth="0" w:num="1">
            <w:col w:w="11240"/>
          </w:cols>
          <w:pgMar w:left="320" w:top="121" w:right="339" w:bottom="1440" w:gutter="0" w:footer="0" w:header="0"/>
        </w:sectPr>
      </w:pPr>
    </w:p>
    <w:bookmarkStart w:id="83" w:name="page84"/>
    <w:bookmarkEnd w:id="83"/>
    <w:p>
      <w:pPr>
        <w:jc w:val="right"/>
        <w:spacing w:after="0"/>
        <w:rPr>
          <w:sz w:val="20"/>
          <w:szCs w:val="20"/>
          <w:color w:val="auto"/>
        </w:rPr>
      </w:pPr>
      <w:r>
        <w:rPr>
          <w:rFonts w:ascii="Times New Roman" w:cs="Times New Roman" w:eastAsia="Times New Roman" w:hAnsi="Times New Roman"/>
          <w:sz w:val="16"/>
          <w:szCs w:val="16"/>
          <w:b w:val="1"/>
          <w:bCs w:val="1"/>
          <w:color w:val="auto"/>
        </w:rPr>
        <w:t>Exhibit 31.1</w:t>
      </w:r>
    </w:p>
    <w:p>
      <w:pPr>
        <w:spacing w:after="0" w:line="248" w:lineRule="exact"/>
        <w:rPr>
          <w:sz w:val="20"/>
          <w:szCs w:val="20"/>
          <w:color w:val="auto"/>
        </w:rPr>
      </w:pPr>
    </w:p>
    <w:p>
      <w:pPr>
        <w:ind w:left="2880"/>
        <w:spacing w:after="0"/>
        <w:rPr>
          <w:sz w:val="20"/>
          <w:szCs w:val="20"/>
          <w:color w:val="auto"/>
        </w:rPr>
      </w:pPr>
      <w:r>
        <w:rPr>
          <w:rFonts w:ascii="Times New Roman" w:cs="Times New Roman" w:eastAsia="Times New Roman" w:hAnsi="Times New Roman"/>
          <w:sz w:val="16"/>
          <w:szCs w:val="16"/>
          <w:b w:val="1"/>
          <w:bCs w:val="1"/>
          <w:color w:val="auto"/>
        </w:rPr>
        <w:t>CERTIFICATION BY THE CHIEF EXECUTIVE OFFICER PURSUANT TO</w:t>
      </w:r>
    </w:p>
    <w:p>
      <w:pPr>
        <w:spacing w:after="0" w:line="28" w:lineRule="exact"/>
        <w:rPr>
          <w:sz w:val="20"/>
          <w:szCs w:val="20"/>
          <w:color w:val="auto"/>
        </w:rPr>
      </w:pPr>
    </w:p>
    <w:p>
      <w:pPr>
        <w:ind w:left="4440"/>
        <w:spacing w:after="0"/>
        <w:rPr>
          <w:sz w:val="20"/>
          <w:szCs w:val="20"/>
          <w:color w:val="auto"/>
        </w:rPr>
      </w:pPr>
      <w:r>
        <w:rPr>
          <w:rFonts w:ascii="Times New Roman" w:cs="Times New Roman" w:eastAsia="Times New Roman" w:hAnsi="Times New Roman"/>
          <w:sz w:val="16"/>
          <w:szCs w:val="16"/>
          <w:b w:val="1"/>
          <w:bCs w:val="1"/>
          <w:color w:val="auto"/>
        </w:rPr>
        <w:t>17 CFR 240.13a-14(a)/15(d)-14(a),</w:t>
      </w:r>
    </w:p>
    <w:p>
      <w:pPr>
        <w:spacing w:after="0" w:line="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AS ADOPTED PURSUANT TO</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SECTION 302 OF THE SARBANES-OXLEY ACT OF 2002</w:t>
      </w: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 Michael J. Mazzei, certify that:</w:t>
      </w:r>
    </w:p>
    <w:p>
      <w:pPr>
        <w:spacing w:after="0" w:line="154" w:lineRule="exact"/>
        <w:rPr>
          <w:sz w:val="20"/>
          <w:szCs w:val="20"/>
          <w:color w:val="auto"/>
        </w:rPr>
      </w:pPr>
    </w:p>
    <w:p>
      <w:pPr>
        <w:ind w:left="660" w:hanging="328"/>
        <w:spacing w:after="0"/>
        <w:tabs>
          <w:tab w:leader="none" w:pos="660" w:val="left"/>
        </w:tabs>
        <w:numPr>
          <w:ilvl w:val="0"/>
          <w:numId w:val="5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 have reviewed this Quarterly Report on Form 10-Q of BrightSpire Capital, Inc.;</w:t>
      </w:r>
    </w:p>
    <w:p>
      <w:pPr>
        <w:spacing w:after="0" w:line="153" w:lineRule="exact"/>
        <w:rPr>
          <w:rFonts w:ascii="Times New Roman" w:cs="Times New Roman" w:eastAsia="Times New Roman" w:hAnsi="Times New Roman"/>
          <w:sz w:val="16"/>
          <w:szCs w:val="16"/>
          <w:color w:val="auto"/>
        </w:rPr>
      </w:pPr>
    </w:p>
    <w:p>
      <w:pPr>
        <w:ind w:firstLine="332"/>
        <w:spacing w:after="0" w:line="280" w:lineRule="auto"/>
        <w:tabs>
          <w:tab w:leader="none" w:pos="648" w:val="left"/>
        </w:tabs>
        <w:numPr>
          <w:ilvl w:val="0"/>
          <w:numId w:val="5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97" w:lineRule="exact"/>
        <w:rPr>
          <w:rFonts w:ascii="Times New Roman" w:cs="Times New Roman" w:eastAsia="Times New Roman" w:hAnsi="Times New Roman"/>
          <w:sz w:val="16"/>
          <w:szCs w:val="16"/>
          <w:color w:val="auto"/>
        </w:rPr>
      </w:pPr>
    </w:p>
    <w:p>
      <w:pPr>
        <w:ind w:right="520" w:firstLine="332"/>
        <w:spacing w:after="0" w:line="298" w:lineRule="auto"/>
        <w:tabs>
          <w:tab w:leader="none" w:pos="648" w:val="left"/>
        </w:tabs>
        <w:numPr>
          <w:ilvl w:val="0"/>
          <w:numId w:val="5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83" w:lineRule="exact"/>
        <w:rPr>
          <w:rFonts w:ascii="Times New Roman" w:cs="Times New Roman" w:eastAsia="Times New Roman" w:hAnsi="Times New Roman"/>
          <w:sz w:val="16"/>
          <w:szCs w:val="16"/>
          <w:color w:val="auto"/>
        </w:rPr>
      </w:pPr>
    </w:p>
    <w:p>
      <w:pPr>
        <w:ind w:right="220" w:firstLine="332"/>
        <w:spacing w:after="0" w:line="280" w:lineRule="auto"/>
        <w:tabs>
          <w:tab w:leader="none" w:pos="645" w:val="left"/>
        </w:tabs>
        <w:numPr>
          <w:ilvl w:val="0"/>
          <w:numId w:val="5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97" w:lineRule="exact"/>
        <w:rPr>
          <w:rFonts w:ascii="Times New Roman" w:cs="Times New Roman" w:eastAsia="Times New Roman" w:hAnsi="Times New Roman"/>
          <w:sz w:val="16"/>
          <w:szCs w:val="16"/>
          <w:color w:val="auto"/>
        </w:rPr>
      </w:pPr>
    </w:p>
    <w:p>
      <w:pPr>
        <w:jc w:val="both"/>
        <w:ind w:left="1140" w:hanging="322"/>
        <w:spacing w:after="0" w:line="272" w:lineRule="auto"/>
        <w:tabs>
          <w:tab w:leader="none" w:pos="1139" w:val="left"/>
        </w:tabs>
        <w:numPr>
          <w:ilvl w:val="1"/>
          <w:numId w:val="5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03" w:lineRule="exact"/>
        <w:rPr>
          <w:rFonts w:ascii="Times New Roman" w:cs="Times New Roman" w:eastAsia="Times New Roman" w:hAnsi="Times New Roman"/>
          <w:sz w:val="16"/>
          <w:szCs w:val="16"/>
          <w:color w:val="auto"/>
        </w:rPr>
      </w:pPr>
    </w:p>
    <w:p>
      <w:pPr>
        <w:jc w:val="both"/>
        <w:ind w:left="1140" w:hanging="322"/>
        <w:spacing w:after="0" w:line="272" w:lineRule="auto"/>
        <w:tabs>
          <w:tab w:leader="none" w:pos="1113" w:val="left"/>
        </w:tabs>
        <w:numPr>
          <w:ilvl w:val="1"/>
          <w:numId w:val="5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03" w:lineRule="exact"/>
        <w:rPr>
          <w:rFonts w:ascii="Times New Roman" w:cs="Times New Roman" w:eastAsia="Times New Roman" w:hAnsi="Times New Roman"/>
          <w:sz w:val="16"/>
          <w:szCs w:val="16"/>
          <w:color w:val="auto"/>
        </w:rPr>
      </w:pPr>
    </w:p>
    <w:p>
      <w:pPr>
        <w:ind w:left="1140" w:hanging="322"/>
        <w:spacing w:after="0" w:line="280" w:lineRule="auto"/>
        <w:tabs>
          <w:tab w:leader="none" w:pos="1127" w:val="left"/>
        </w:tabs>
        <w:numPr>
          <w:ilvl w:val="1"/>
          <w:numId w:val="5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97" w:lineRule="exact"/>
        <w:rPr>
          <w:rFonts w:ascii="Times New Roman" w:cs="Times New Roman" w:eastAsia="Times New Roman" w:hAnsi="Times New Roman"/>
          <w:sz w:val="16"/>
          <w:szCs w:val="16"/>
          <w:color w:val="auto"/>
        </w:rPr>
      </w:pPr>
    </w:p>
    <w:p>
      <w:pPr>
        <w:jc w:val="both"/>
        <w:ind w:left="1140" w:hanging="322"/>
        <w:spacing w:after="0" w:line="272" w:lineRule="auto"/>
        <w:tabs>
          <w:tab w:leader="none" w:pos="1090" w:val="left"/>
        </w:tabs>
        <w:numPr>
          <w:ilvl w:val="1"/>
          <w:numId w:val="5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03" w:lineRule="exact"/>
        <w:rPr>
          <w:rFonts w:ascii="Times New Roman" w:cs="Times New Roman" w:eastAsia="Times New Roman" w:hAnsi="Times New Roman"/>
          <w:sz w:val="16"/>
          <w:szCs w:val="16"/>
          <w:color w:val="auto"/>
        </w:rPr>
      </w:pPr>
    </w:p>
    <w:p>
      <w:pPr>
        <w:ind w:right="140" w:firstLine="332"/>
        <w:spacing w:after="0" w:line="298" w:lineRule="auto"/>
        <w:tabs>
          <w:tab w:leader="none" w:pos="645" w:val="left"/>
        </w:tabs>
        <w:numPr>
          <w:ilvl w:val="0"/>
          <w:numId w:val="5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83" w:lineRule="exact"/>
        <w:rPr>
          <w:rFonts w:ascii="Times New Roman" w:cs="Times New Roman" w:eastAsia="Times New Roman" w:hAnsi="Times New Roman"/>
          <w:sz w:val="16"/>
          <w:szCs w:val="16"/>
          <w:color w:val="auto"/>
        </w:rPr>
      </w:pPr>
    </w:p>
    <w:p>
      <w:pPr>
        <w:ind w:left="1140" w:hanging="322"/>
        <w:spacing w:after="0" w:line="280" w:lineRule="auto"/>
        <w:tabs>
          <w:tab w:leader="none" w:pos="1142" w:val="left"/>
        </w:tabs>
        <w:numPr>
          <w:ilvl w:val="1"/>
          <w:numId w:val="5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97" w:lineRule="exact"/>
        <w:rPr>
          <w:rFonts w:ascii="Times New Roman" w:cs="Times New Roman" w:eastAsia="Times New Roman" w:hAnsi="Times New Roman"/>
          <w:sz w:val="16"/>
          <w:szCs w:val="16"/>
          <w:color w:val="auto"/>
        </w:rPr>
      </w:pPr>
    </w:p>
    <w:p>
      <w:pPr>
        <w:ind w:left="1140" w:hanging="322"/>
        <w:spacing w:after="0" w:line="298" w:lineRule="auto"/>
        <w:tabs>
          <w:tab w:leader="none" w:pos="1120" w:val="left"/>
        </w:tabs>
        <w:numPr>
          <w:ilvl w:val="1"/>
          <w:numId w:val="5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ind w:left="5420"/>
        <w:spacing w:after="0"/>
        <w:tabs>
          <w:tab w:leader="none" w:pos="5780" w:val="left"/>
        </w:tabs>
        <w:rPr>
          <w:sz w:val="20"/>
          <w:szCs w:val="20"/>
          <w:color w:val="auto"/>
        </w:rPr>
      </w:pPr>
      <w:r>
        <w:rPr>
          <w:rFonts w:ascii="Times New Roman" w:cs="Times New Roman" w:eastAsia="Times New Roman" w:hAnsi="Times New Roman"/>
          <w:sz w:val="16"/>
          <w:szCs w:val="16"/>
          <w:color w:val="auto"/>
        </w:rPr>
        <w:t>By:</w:t>
      </w:r>
      <w:r>
        <w:rPr>
          <w:sz w:val="20"/>
          <w:szCs w:val="20"/>
          <w:color w:val="auto"/>
        </w:rPr>
        <w:tab/>
      </w:r>
      <w:r>
        <w:rPr>
          <w:rFonts w:ascii="Times New Roman" w:cs="Times New Roman" w:eastAsia="Times New Roman" w:hAnsi="Times New Roman"/>
          <w:sz w:val="17"/>
          <w:szCs w:val="17"/>
          <w:color w:val="auto"/>
        </w:rPr>
        <w:t>/s/ Michael J. Mazzei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3674110</wp:posOffset>
            </wp:positionH>
            <wp:positionV relativeFrom="paragraph">
              <wp:posOffset>24765</wp:posOffset>
            </wp:positionV>
            <wp:extent cx="3317875"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6">
                      <a:extLst>
                        <a:ext uri="{28A0092B-C50C-407E-A947-70E740481C1C}"/>
                      </a:extLst>
                    </a:blip>
                    <a:srcRect/>
                    <a:stretch>
                      <a:fillRect/>
                    </a:stretch>
                  </pic:blipFill>
                  <pic:spPr bwMode="auto">
                    <a:xfrm>
                      <a:off x="0" y="0"/>
                      <a:ext cx="3317875" cy="8255"/>
                    </a:xfrm>
                    <a:prstGeom prst="rect">
                      <a:avLst/>
                    </a:prstGeom>
                    <a:noFill/>
                  </pic:spPr>
                </pic:pic>
              </a:graphicData>
            </a:graphic>
          </wp:anchor>
        </w:drawing>
      </w:r>
    </w:p>
    <w:p>
      <w:pPr>
        <w:spacing w:after="0" w:line="37" w:lineRule="exact"/>
        <w:rPr>
          <w:sz w:val="20"/>
          <w:szCs w:val="20"/>
          <w:color w:val="auto"/>
        </w:rPr>
      </w:pPr>
    </w:p>
    <w:p>
      <w:pPr>
        <w:ind w:left="5800"/>
        <w:spacing w:after="0"/>
        <w:rPr>
          <w:sz w:val="20"/>
          <w:szCs w:val="20"/>
          <w:color w:val="auto"/>
        </w:rPr>
      </w:pPr>
      <w:r>
        <w:rPr>
          <w:rFonts w:ascii="Times New Roman" w:cs="Times New Roman" w:eastAsia="Times New Roman" w:hAnsi="Times New Roman"/>
          <w:sz w:val="18"/>
          <w:szCs w:val="18"/>
          <w:b w:val="1"/>
          <w:bCs w:val="1"/>
          <w:color w:val="auto"/>
        </w:rPr>
        <w:t>Michael J. Mazzei</w:t>
      </w:r>
    </w:p>
    <w:p>
      <w:pPr>
        <w:spacing w:after="0" w:line="36" w:lineRule="exact"/>
        <w:rPr>
          <w:sz w:val="20"/>
          <w:szCs w:val="20"/>
          <w:color w:val="auto"/>
        </w:rPr>
      </w:pPr>
    </w:p>
    <w:p>
      <w:pPr>
        <w:ind w:left="5800"/>
        <w:spacing w:after="0"/>
        <w:rPr>
          <w:sz w:val="20"/>
          <w:szCs w:val="20"/>
          <w:color w:val="auto"/>
        </w:rPr>
      </w:pPr>
      <w:r>
        <w:rPr>
          <w:rFonts w:ascii="Times New Roman" w:cs="Times New Roman" w:eastAsia="Times New Roman" w:hAnsi="Times New Roman"/>
          <w:sz w:val="18"/>
          <w:szCs w:val="18"/>
          <w:b w:val="1"/>
          <w:bCs w:val="1"/>
          <w:color w:val="auto"/>
        </w:rPr>
        <w:t>Chief Executive Officer</w:t>
      </w:r>
    </w:p>
    <w:p>
      <w:pPr>
        <w:spacing w:after="0" w:line="40" w:lineRule="exact"/>
        <w:rPr>
          <w:sz w:val="20"/>
          <w:szCs w:val="20"/>
          <w:color w:val="auto"/>
        </w:rPr>
      </w:pPr>
    </w:p>
    <w:p>
      <w:pPr>
        <w:ind w:left="5300"/>
        <w:spacing w:after="0"/>
        <w:tabs>
          <w:tab w:leader="none" w:pos="5780" w:val="left"/>
        </w:tabs>
        <w:rPr>
          <w:sz w:val="20"/>
          <w:szCs w:val="20"/>
          <w:color w:val="auto"/>
        </w:rPr>
      </w:pPr>
      <w:r>
        <w:rPr>
          <w:rFonts w:ascii="Times New Roman" w:cs="Times New Roman" w:eastAsia="Times New Roman" w:hAnsi="Times New Roman"/>
          <w:sz w:val="16"/>
          <w:szCs w:val="16"/>
          <w:color w:val="auto"/>
        </w:rPr>
        <w:t>Date:</w:t>
      </w:r>
      <w:r>
        <w:rPr>
          <w:sz w:val="20"/>
          <w:szCs w:val="20"/>
          <w:color w:val="auto"/>
        </w:rPr>
        <w:tab/>
      </w:r>
      <w:r>
        <w:rPr>
          <w:rFonts w:ascii="Times New Roman" w:cs="Times New Roman" w:eastAsia="Times New Roman" w:hAnsi="Times New Roman"/>
          <w:sz w:val="18"/>
          <w:szCs w:val="18"/>
          <w:color w:val="auto"/>
        </w:rPr>
        <w:t>October 28, 2026</w:t>
      </w:r>
    </w:p>
    <w:p>
      <w:pPr>
        <w:sectPr>
          <w:pgSz w:w="11900" w:h="16838" w:orient="portrait"/>
          <w:cols w:equalWidth="0" w:num="1">
            <w:col w:w="11240"/>
          </w:cols>
          <w:pgMar w:left="320" w:top="893" w:right="339" w:bottom="1440" w:gutter="0" w:footer="0" w:header="0"/>
        </w:sectPr>
      </w:pPr>
    </w:p>
    <w:bookmarkStart w:id="84" w:name="page85"/>
    <w:bookmarkEnd w:id="84"/>
    <w:p>
      <w:pPr>
        <w:jc w:val="right"/>
        <w:spacing w:after="0"/>
        <w:rPr>
          <w:sz w:val="20"/>
          <w:szCs w:val="20"/>
          <w:color w:val="auto"/>
        </w:rPr>
      </w:pPr>
      <w:r>
        <w:rPr>
          <w:rFonts w:ascii="Times New Roman" w:cs="Times New Roman" w:eastAsia="Times New Roman" w:hAnsi="Times New Roman"/>
          <w:sz w:val="16"/>
          <w:szCs w:val="16"/>
          <w:b w:val="1"/>
          <w:bCs w:val="1"/>
          <w:color w:val="auto"/>
        </w:rPr>
        <w:t>Exhibit 31.2</w:t>
      </w:r>
    </w:p>
    <w:p>
      <w:pPr>
        <w:spacing w:after="0" w:line="248" w:lineRule="exact"/>
        <w:rPr>
          <w:sz w:val="20"/>
          <w:szCs w:val="20"/>
          <w:color w:val="auto"/>
        </w:rPr>
      </w:pPr>
    </w:p>
    <w:p>
      <w:pPr>
        <w:ind w:left="2900"/>
        <w:spacing w:after="0"/>
        <w:rPr>
          <w:sz w:val="20"/>
          <w:szCs w:val="20"/>
          <w:color w:val="auto"/>
        </w:rPr>
      </w:pPr>
      <w:r>
        <w:rPr>
          <w:rFonts w:ascii="Times New Roman" w:cs="Times New Roman" w:eastAsia="Times New Roman" w:hAnsi="Times New Roman"/>
          <w:sz w:val="16"/>
          <w:szCs w:val="16"/>
          <w:b w:val="1"/>
          <w:bCs w:val="1"/>
          <w:color w:val="auto"/>
        </w:rPr>
        <w:t>CERTIFICATION BY THE CHIEF FINANCIAL OFFICER PURSUANT TO</w:t>
      </w:r>
    </w:p>
    <w:p>
      <w:pPr>
        <w:spacing w:after="0" w:line="28" w:lineRule="exact"/>
        <w:rPr>
          <w:sz w:val="20"/>
          <w:szCs w:val="20"/>
          <w:color w:val="auto"/>
        </w:rPr>
      </w:pPr>
    </w:p>
    <w:p>
      <w:pPr>
        <w:ind w:left="4440"/>
        <w:spacing w:after="0"/>
        <w:rPr>
          <w:sz w:val="20"/>
          <w:szCs w:val="20"/>
          <w:color w:val="auto"/>
        </w:rPr>
      </w:pPr>
      <w:r>
        <w:rPr>
          <w:rFonts w:ascii="Times New Roman" w:cs="Times New Roman" w:eastAsia="Times New Roman" w:hAnsi="Times New Roman"/>
          <w:sz w:val="16"/>
          <w:szCs w:val="16"/>
          <w:b w:val="1"/>
          <w:bCs w:val="1"/>
          <w:color w:val="auto"/>
        </w:rPr>
        <w:t>17 CFR 240.13a-14(a)/15(d)-14(a),</w:t>
      </w:r>
    </w:p>
    <w:p>
      <w:pPr>
        <w:spacing w:after="0" w:line="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AS ADOPTED PURSUANT TO</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SECTION 302 OF THE SARBANES-OXLEY ACT OF 2002</w:t>
      </w: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 Frank V. Saracino, certify that:</w:t>
      </w:r>
    </w:p>
    <w:p>
      <w:pPr>
        <w:spacing w:after="0" w:line="154" w:lineRule="exact"/>
        <w:rPr>
          <w:sz w:val="20"/>
          <w:szCs w:val="20"/>
          <w:color w:val="auto"/>
        </w:rPr>
      </w:pPr>
    </w:p>
    <w:p>
      <w:pPr>
        <w:ind w:left="660" w:hanging="328"/>
        <w:spacing w:after="0"/>
        <w:tabs>
          <w:tab w:leader="none" w:pos="660" w:val="left"/>
        </w:tabs>
        <w:numPr>
          <w:ilvl w:val="0"/>
          <w:numId w:val="5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 have reviewed this Quarterly Report on Form 10-Q of BrightSpire Capital, Inc.;</w:t>
      </w:r>
    </w:p>
    <w:p>
      <w:pPr>
        <w:spacing w:after="0" w:line="153" w:lineRule="exact"/>
        <w:rPr>
          <w:rFonts w:ascii="Times New Roman" w:cs="Times New Roman" w:eastAsia="Times New Roman" w:hAnsi="Times New Roman"/>
          <w:sz w:val="16"/>
          <w:szCs w:val="16"/>
          <w:color w:val="auto"/>
        </w:rPr>
      </w:pPr>
    </w:p>
    <w:p>
      <w:pPr>
        <w:ind w:firstLine="332"/>
        <w:spacing w:after="0" w:line="280" w:lineRule="auto"/>
        <w:tabs>
          <w:tab w:leader="none" w:pos="648" w:val="left"/>
        </w:tabs>
        <w:numPr>
          <w:ilvl w:val="0"/>
          <w:numId w:val="5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97" w:lineRule="exact"/>
        <w:rPr>
          <w:rFonts w:ascii="Times New Roman" w:cs="Times New Roman" w:eastAsia="Times New Roman" w:hAnsi="Times New Roman"/>
          <w:sz w:val="16"/>
          <w:szCs w:val="16"/>
          <w:color w:val="auto"/>
        </w:rPr>
      </w:pPr>
    </w:p>
    <w:p>
      <w:pPr>
        <w:ind w:right="520" w:firstLine="332"/>
        <w:spacing w:after="0" w:line="298" w:lineRule="auto"/>
        <w:tabs>
          <w:tab w:leader="none" w:pos="648" w:val="left"/>
        </w:tabs>
        <w:numPr>
          <w:ilvl w:val="0"/>
          <w:numId w:val="5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83" w:lineRule="exact"/>
        <w:rPr>
          <w:rFonts w:ascii="Times New Roman" w:cs="Times New Roman" w:eastAsia="Times New Roman" w:hAnsi="Times New Roman"/>
          <w:sz w:val="16"/>
          <w:szCs w:val="16"/>
          <w:color w:val="auto"/>
        </w:rPr>
      </w:pPr>
    </w:p>
    <w:p>
      <w:pPr>
        <w:ind w:right="220" w:firstLine="332"/>
        <w:spacing w:after="0" w:line="280" w:lineRule="auto"/>
        <w:tabs>
          <w:tab w:leader="none" w:pos="645" w:val="left"/>
        </w:tabs>
        <w:numPr>
          <w:ilvl w:val="0"/>
          <w:numId w:val="5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97" w:lineRule="exact"/>
        <w:rPr>
          <w:rFonts w:ascii="Times New Roman" w:cs="Times New Roman" w:eastAsia="Times New Roman" w:hAnsi="Times New Roman"/>
          <w:sz w:val="16"/>
          <w:szCs w:val="16"/>
          <w:color w:val="auto"/>
        </w:rPr>
      </w:pPr>
    </w:p>
    <w:p>
      <w:pPr>
        <w:jc w:val="both"/>
        <w:ind w:left="1140" w:hanging="322"/>
        <w:spacing w:after="0" w:line="272" w:lineRule="auto"/>
        <w:tabs>
          <w:tab w:leader="none" w:pos="1139" w:val="left"/>
        </w:tabs>
        <w:numPr>
          <w:ilvl w:val="1"/>
          <w:numId w:val="5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03" w:lineRule="exact"/>
        <w:rPr>
          <w:rFonts w:ascii="Times New Roman" w:cs="Times New Roman" w:eastAsia="Times New Roman" w:hAnsi="Times New Roman"/>
          <w:sz w:val="16"/>
          <w:szCs w:val="16"/>
          <w:color w:val="auto"/>
        </w:rPr>
      </w:pPr>
    </w:p>
    <w:p>
      <w:pPr>
        <w:jc w:val="both"/>
        <w:ind w:left="1140" w:hanging="322"/>
        <w:spacing w:after="0" w:line="272" w:lineRule="auto"/>
        <w:tabs>
          <w:tab w:leader="none" w:pos="1113" w:val="left"/>
        </w:tabs>
        <w:numPr>
          <w:ilvl w:val="1"/>
          <w:numId w:val="5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03" w:lineRule="exact"/>
        <w:rPr>
          <w:rFonts w:ascii="Times New Roman" w:cs="Times New Roman" w:eastAsia="Times New Roman" w:hAnsi="Times New Roman"/>
          <w:sz w:val="16"/>
          <w:szCs w:val="16"/>
          <w:color w:val="auto"/>
        </w:rPr>
      </w:pPr>
    </w:p>
    <w:p>
      <w:pPr>
        <w:ind w:left="1140" w:hanging="322"/>
        <w:spacing w:after="0" w:line="280" w:lineRule="auto"/>
        <w:tabs>
          <w:tab w:leader="none" w:pos="1127" w:val="left"/>
        </w:tabs>
        <w:numPr>
          <w:ilvl w:val="1"/>
          <w:numId w:val="5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97" w:lineRule="exact"/>
        <w:rPr>
          <w:rFonts w:ascii="Times New Roman" w:cs="Times New Roman" w:eastAsia="Times New Roman" w:hAnsi="Times New Roman"/>
          <w:sz w:val="16"/>
          <w:szCs w:val="16"/>
          <w:color w:val="auto"/>
        </w:rPr>
      </w:pPr>
    </w:p>
    <w:p>
      <w:pPr>
        <w:jc w:val="both"/>
        <w:ind w:left="1140" w:hanging="322"/>
        <w:spacing w:after="0" w:line="272" w:lineRule="auto"/>
        <w:tabs>
          <w:tab w:leader="none" w:pos="1090" w:val="left"/>
        </w:tabs>
        <w:numPr>
          <w:ilvl w:val="1"/>
          <w:numId w:val="5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03" w:lineRule="exact"/>
        <w:rPr>
          <w:rFonts w:ascii="Times New Roman" w:cs="Times New Roman" w:eastAsia="Times New Roman" w:hAnsi="Times New Roman"/>
          <w:sz w:val="16"/>
          <w:szCs w:val="16"/>
          <w:color w:val="auto"/>
        </w:rPr>
      </w:pPr>
    </w:p>
    <w:p>
      <w:pPr>
        <w:ind w:right="140" w:firstLine="332"/>
        <w:spacing w:after="0" w:line="298" w:lineRule="auto"/>
        <w:tabs>
          <w:tab w:leader="none" w:pos="645" w:val="left"/>
        </w:tabs>
        <w:numPr>
          <w:ilvl w:val="0"/>
          <w:numId w:val="5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83" w:lineRule="exact"/>
        <w:rPr>
          <w:rFonts w:ascii="Times New Roman" w:cs="Times New Roman" w:eastAsia="Times New Roman" w:hAnsi="Times New Roman"/>
          <w:sz w:val="16"/>
          <w:szCs w:val="16"/>
          <w:color w:val="auto"/>
        </w:rPr>
      </w:pPr>
    </w:p>
    <w:p>
      <w:pPr>
        <w:ind w:left="1140" w:hanging="322"/>
        <w:spacing w:after="0" w:line="280" w:lineRule="auto"/>
        <w:tabs>
          <w:tab w:leader="none" w:pos="1142" w:val="left"/>
        </w:tabs>
        <w:numPr>
          <w:ilvl w:val="1"/>
          <w:numId w:val="5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97" w:lineRule="exact"/>
        <w:rPr>
          <w:rFonts w:ascii="Times New Roman" w:cs="Times New Roman" w:eastAsia="Times New Roman" w:hAnsi="Times New Roman"/>
          <w:sz w:val="16"/>
          <w:szCs w:val="16"/>
          <w:color w:val="auto"/>
        </w:rPr>
      </w:pPr>
    </w:p>
    <w:p>
      <w:pPr>
        <w:ind w:left="1140" w:hanging="322"/>
        <w:spacing w:after="0" w:line="298" w:lineRule="auto"/>
        <w:tabs>
          <w:tab w:leader="none" w:pos="1120" w:val="left"/>
        </w:tabs>
        <w:numPr>
          <w:ilvl w:val="1"/>
          <w:numId w:val="5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fraud, whether or not material, that involves management or other employees who have a significant role in the registrant’s internal control over financial reporting.</w:t>
      </w:r>
    </w:p>
    <w:p>
      <w:pPr>
        <w:spacing w:after="0" w:line="376" w:lineRule="exact"/>
        <w:rPr>
          <w:sz w:val="20"/>
          <w:szCs w:val="20"/>
          <w:color w:val="auto"/>
        </w:rPr>
      </w:pPr>
    </w:p>
    <w:p>
      <w:pPr>
        <w:ind w:left="5420"/>
        <w:spacing w:after="0"/>
        <w:tabs>
          <w:tab w:leader="none" w:pos="5780" w:val="left"/>
        </w:tabs>
        <w:rPr>
          <w:sz w:val="20"/>
          <w:szCs w:val="20"/>
          <w:color w:val="auto"/>
        </w:rPr>
      </w:pPr>
      <w:r>
        <w:rPr>
          <w:rFonts w:ascii="Times New Roman" w:cs="Times New Roman" w:eastAsia="Times New Roman" w:hAnsi="Times New Roman"/>
          <w:sz w:val="16"/>
          <w:szCs w:val="16"/>
          <w:color w:val="auto"/>
        </w:rPr>
        <w:t>By:</w:t>
      </w:r>
      <w:r>
        <w:rPr>
          <w:sz w:val="20"/>
          <w:szCs w:val="20"/>
          <w:color w:val="auto"/>
        </w:rPr>
        <w:tab/>
      </w:r>
      <w:r>
        <w:rPr>
          <w:rFonts w:ascii="Times New Roman" w:cs="Times New Roman" w:eastAsia="Times New Roman" w:hAnsi="Times New Roman"/>
          <w:sz w:val="17"/>
          <w:szCs w:val="17"/>
          <w:color w:val="auto"/>
        </w:rPr>
        <w:t>/s/ Frank V. Saracino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3674110</wp:posOffset>
            </wp:positionH>
            <wp:positionV relativeFrom="paragraph">
              <wp:posOffset>24765</wp:posOffset>
            </wp:positionV>
            <wp:extent cx="3317875"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7">
                      <a:extLst>
                        <a:ext uri="{28A0092B-C50C-407E-A947-70E740481C1C}"/>
                      </a:extLst>
                    </a:blip>
                    <a:srcRect/>
                    <a:stretch>
                      <a:fillRect/>
                    </a:stretch>
                  </pic:blipFill>
                  <pic:spPr bwMode="auto">
                    <a:xfrm>
                      <a:off x="0" y="0"/>
                      <a:ext cx="3317875" cy="8255"/>
                    </a:xfrm>
                    <a:prstGeom prst="rect">
                      <a:avLst/>
                    </a:prstGeom>
                    <a:noFill/>
                  </pic:spPr>
                </pic:pic>
              </a:graphicData>
            </a:graphic>
          </wp:anchor>
        </w:drawing>
      </w:r>
    </w:p>
    <w:p>
      <w:pPr>
        <w:spacing w:after="0" w:line="37" w:lineRule="exact"/>
        <w:rPr>
          <w:sz w:val="20"/>
          <w:szCs w:val="20"/>
          <w:color w:val="auto"/>
        </w:rPr>
      </w:pPr>
    </w:p>
    <w:p>
      <w:pPr>
        <w:ind w:left="5800"/>
        <w:spacing w:after="0"/>
        <w:rPr>
          <w:sz w:val="20"/>
          <w:szCs w:val="20"/>
          <w:color w:val="auto"/>
        </w:rPr>
      </w:pPr>
      <w:r>
        <w:rPr>
          <w:rFonts w:ascii="Times New Roman" w:cs="Times New Roman" w:eastAsia="Times New Roman" w:hAnsi="Times New Roman"/>
          <w:sz w:val="18"/>
          <w:szCs w:val="18"/>
          <w:b w:val="1"/>
          <w:bCs w:val="1"/>
          <w:color w:val="auto"/>
        </w:rPr>
        <w:t>Frank V. Saracino</w:t>
      </w:r>
    </w:p>
    <w:p>
      <w:pPr>
        <w:spacing w:after="0" w:line="36" w:lineRule="exact"/>
        <w:rPr>
          <w:sz w:val="20"/>
          <w:szCs w:val="20"/>
          <w:color w:val="auto"/>
        </w:rPr>
      </w:pPr>
    </w:p>
    <w:p>
      <w:pPr>
        <w:ind w:left="5800"/>
        <w:spacing w:after="0"/>
        <w:rPr>
          <w:sz w:val="20"/>
          <w:szCs w:val="20"/>
          <w:color w:val="auto"/>
        </w:rPr>
      </w:pPr>
      <w:r>
        <w:rPr>
          <w:rFonts w:ascii="Times New Roman" w:cs="Times New Roman" w:eastAsia="Times New Roman" w:hAnsi="Times New Roman"/>
          <w:sz w:val="18"/>
          <w:szCs w:val="18"/>
          <w:b w:val="1"/>
          <w:bCs w:val="1"/>
          <w:color w:val="auto"/>
        </w:rPr>
        <w:t>Chief Financial Officer</w:t>
      </w:r>
    </w:p>
    <w:p>
      <w:pPr>
        <w:spacing w:after="0" w:line="40" w:lineRule="exact"/>
        <w:rPr>
          <w:sz w:val="20"/>
          <w:szCs w:val="20"/>
          <w:color w:val="auto"/>
        </w:rPr>
      </w:pPr>
    </w:p>
    <w:p>
      <w:pPr>
        <w:ind w:left="5300"/>
        <w:spacing w:after="0"/>
        <w:tabs>
          <w:tab w:leader="none" w:pos="5780" w:val="left"/>
        </w:tabs>
        <w:rPr>
          <w:sz w:val="20"/>
          <w:szCs w:val="20"/>
          <w:color w:val="auto"/>
        </w:rPr>
      </w:pPr>
      <w:r>
        <w:rPr>
          <w:rFonts w:ascii="Times New Roman" w:cs="Times New Roman" w:eastAsia="Times New Roman" w:hAnsi="Times New Roman"/>
          <w:sz w:val="16"/>
          <w:szCs w:val="16"/>
          <w:color w:val="auto"/>
        </w:rPr>
        <w:t>Date:</w:t>
      </w:r>
      <w:r>
        <w:rPr>
          <w:sz w:val="20"/>
          <w:szCs w:val="20"/>
          <w:color w:val="auto"/>
        </w:rPr>
        <w:tab/>
      </w:r>
      <w:r>
        <w:rPr>
          <w:rFonts w:ascii="Times New Roman" w:cs="Times New Roman" w:eastAsia="Times New Roman" w:hAnsi="Times New Roman"/>
          <w:sz w:val="18"/>
          <w:szCs w:val="18"/>
          <w:color w:val="auto"/>
        </w:rPr>
        <w:t>October 28, 2026</w:t>
      </w:r>
    </w:p>
    <w:p>
      <w:pPr>
        <w:sectPr>
          <w:pgSz w:w="11900" w:h="16838" w:orient="portrait"/>
          <w:cols w:equalWidth="0" w:num="1">
            <w:col w:w="11240"/>
          </w:cols>
          <w:pgMar w:left="320" w:top="893" w:right="339" w:bottom="1440" w:gutter="0" w:footer="0" w:header="0"/>
        </w:sectPr>
      </w:pPr>
    </w:p>
    <w:bookmarkStart w:id="85" w:name="page86"/>
    <w:bookmarkEnd w:id="85"/>
    <w:p>
      <w:pPr>
        <w:jc w:val="right"/>
        <w:spacing w:after="0"/>
        <w:rPr>
          <w:sz w:val="20"/>
          <w:szCs w:val="20"/>
          <w:color w:val="auto"/>
        </w:rPr>
      </w:pPr>
      <w:r>
        <w:rPr>
          <w:rFonts w:ascii="Times New Roman" w:cs="Times New Roman" w:eastAsia="Times New Roman" w:hAnsi="Times New Roman"/>
          <w:sz w:val="16"/>
          <w:szCs w:val="16"/>
          <w:b w:val="1"/>
          <w:bCs w:val="1"/>
          <w:color w:val="auto"/>
        </w:rPr>
        <w:t>Exhibit 32.1</w:t>
      </w:r>
    </w:p>
    <w:p>
      <w:pPr>
        <w:spacing w:after="0" w:line="248" w:lineRule="exact"/>
        <w:rPr>
          <w:sz w:val="20"/>
          <w:szCs w:val="20"/>
          <w:color w:val="auto"/>
        </w:rPr>
      </w:pPr>
    </w:p>
    <w:p>
      <w:pPr>
        <w:ind w:left="3480"/>
        <w:spacing w:after="0"/>
        <w:rPr>
          <w:sz w:val="20"/>
          <w:szCs w:val="20"/>
          <w:color w:val="auto"/>
        </w:rPr>
      </w:pPr>
      <w:r>
        <w:rPr>
          <w:rFonts w:ascii="Times New Roman" w:cs="Times New Roman" w:eastAsia="Times New Roman" w:hAnsi="Times New Roman"/>
          <w:sz w:val="16"/>
          <w:szCs w:val="16"/>
          <w:b w:val="1"/>
          <w:bCs w:val="1"/>
          <w:color w:val="auto"/>
        </w:rPr>
        <w:t>CERTIFICATION BY THE CHIEF EXECUTIVE OFFICER</w:t>
      </w:r>
    </w:p>
    <w:p>
      <w:pPr>
        <w:spacing w:after="0" w:line="28" w:lineRule="exact"/>
        <w:rPr>
          <w:sz w:val="20"/>
          <w:szCs w:val="20"/>
          <w:color w:val="auto"/>
        </w:rPr>
      </w:pPr>
    </w:p>
    <w:p>
      <w:pPr>
        <w:ind w:left="4120"/>
        <w:spacing w:after="0"/>
        <w:rPr>
          <w:sz w:val="20"/>
          <w:szCs w:val="20"/>
          <w:color w:val="auto"/>
        </w:rPr>
      </w:pPr>
      <w:r>
        <w:rPr>
          <w:rFonts w:ascii="Times New Roman" w:cs="Times New Roman" w:eastAsia="Times New Roman" w:hAnsi="Times New Roman"/>
          <w:sz w:val="16"/>
          <w:szCs w:val="16"/>
          <w:b w:val="1"/>
          <w:bCs w:val="1"/>
          <w:color w:val="auto"/>
        </w:rPr>
        <w:t>PURSUANT TO 18 U.S.C. SECTION 1350,</w:t>
      </w:r>
    </w:p>
    <w:p>
      <w:pPr>
        <w:spacing w:after="0" w:line="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AS ADOPTED PURSUANT TO</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SECTION 906 OF THE SARBANES-OXLEY ACT OF 2002</w:t>
      </w:r>
    </w:p>
    <w:p>
      <w:pPr>
        <w:spacing w:after="0" w:line="159" w:lineRule="exact"/>
        <w:rPr>
          <w:sz w:val="20"/>
          <w:szCs w:val="20"/>
          <w:color w:val="auto"/>
        </w:rPr>
      </w:pPr>
    </w:p>
    <w:p>
      <w:pPr>
        <w:jc w:val="both"/>
        <w:ind w:firstLine="356"/>
        <w:spacing w:after="0" w:line="272" w:lineRule="auto"/>
        <w:rPr>
          <w:sz w:val="20"/>
          <w:szCs w:val="20"/>
          <w:color w:val="auto"/>
        </w:rPr>
      </w:pPr>
      <w:r>
        <w:rPr>
          <w:rFonts w:ascii="Times New Roman" w:cs="Times New Roman" w:eastAsia="Times New Roman" w:hAnsi="Times New Roman"/>
          <w:sz w:val="16"/>
          <w:szCs w:val="16"/>
          <w:color w:val="auto"/>
        </w:rPr>
        <w:t>In connection with the Quarterly Report on Form 10-Q of BrightSpire Capital, Inc. (the “Company”) for the three months ended September 30, 2026, as filed with the Securities and Exchange Commission on the date hereof (the “Report”), I, Michael J. Mazzei, as Chief Executive Officer of the Company, hereby certify, pursuant to 18 U.S.C. Section §1350, as adopted pursuant to Section §906 of the Sarbanes-Oxley Act of 2002, that, to the best of my knowledge:</w:t>
      </w:r>
    </w:p>
    <w:p>
      <w:pPr>
        <w:spacing w:after="0" w:line="198" w:lineRule="exact"/>
        <w:rPr>
          <w:sz w:val="20"/>
          <w:szCs w:val="20"/>
          <w:color w:val="auto"/>
        </w:rPr>
      </w:pPr>
    </w:p>
    <w:p>
      <w:pPr>
        <w:ind w:left="780" w:hanging="286"/>
        <w:spacing w:after="0"/>
        <w:tabs>
          <w:tab w:leader="none" w:pos="780" w:val="left"/>
        </w:tabs>
        <w:numPr>
          <w:ilvl w:val="0"/>
          <w:numId w:val="5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Report fully complies with the requirements of Section 13(a) or 15(d) of the Securities Exchange Act of 1934; and</w:t>
      </w:r>
    </w:p>
    <w:p>
      <w:pPr>
        <w:spacing w:after="0" w:line="261" w:lineRule="exact"/>
        <w:rPr>
          <w:rFonts w:ascii="Times New Roman" w:cs="Times New Roman" w:eastAsia="Times New Roman" w:hAnsi="Times New Roman"/>
          <w:sz w:val="16"/>
          <w:szCs w:val="16"/>
          <w:color w:val="auto"/>
        </w:rPr>
      </w:pPr>
    </w:p>
    <w:p>
      <w:pPr>
        <w:ind w:left="780" w:hanging="286"/>
        <w:spacing w:after="0"/>
        <w:tabs>
          <w:tab w:leader="none" w:pos="780" w:val="left"/>
        </w:tabs>
        <w:numPr>
          <w:ilvl w:val="0"/>
          <w:numId w:val="5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information contained in the Report fairly presents, in all material respects, the financial condition and results of operations of the Company.</w:t>
      </w:r>
    </w:p>
    <w:p>
      <w:pPr>
        <w:spacing w:after="0" w:line="54" w:lineRule="exact"/>
        <w:rPr>
          <w:rFonts w:ascii="Times New Roman" w:cs="Times New Roman" w:eastAsia="Times New Roman" w:hAnsi="Times New Roman"/>
          <w:sz w:val="16"/>
          <w:szCs w:val="16"/>
          <w:color w:val="auto"/>
        </w:rPr>
      </w:pPr>
    </w:p>
    <w:p>
      <w:pPr>
        <w:ind w:left="556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By:  </w:t>
      </w:r>
      <w:r>
        <w:rPr>
          <w:rFonts w:ascii="Times New Roman" w:cs="Times New Roman" w:eastAsia="Times New Roman" w:hAnsi="Times New Roman"/>
          <w:sz w:val="17"/>
          <w:szCs w:val="17"/>
          <w:color w:val="auto"/>
        </w:rPr>
        <w:t>/s/ Michael J. Mazzei</w:t>
      </w:r>
    </w:p>
    <w:p>
      <w:pPr>
        <w:spacing w:after="0" w:line="57" w:lineRule="exact"/>
        <w:rPr>
          <w:rFonts w:ascii="Times New Roman" w:cs="Times New Roman" w:eastAsia="Times New Roman" w:hAnsi="Times New Roman"/>
          <w:sz w:val="16"/>
          <w:szCs w:val="16"/>
          <w:color w:val="auto"/>
        </w:rPr>
      </w:pPr>
    </w:p>
    <w:p>
      <w:pPr>
        <w:ind w:left="5940" w:right="3560"/>
        <w:spacing w:after="0" w:line="300" w:lineRule="auto"/>
        <w:rPr>
          <w:rFonts w:ascii="Times New Roman" w:cs="Times New Roman" w:eastAsia="Times New Roman" w:hAnsi="Times New Roman"/>
          <w:sz w:val="16"/>
          <w:szCs w:val="16"/>
          <w:color w:val="auto"/>
        </w:rPr>
      </w:pPr>
      <w:r>
        <w:rPr>
          <w:rFonts w:ascii="Times New Roman" w:cs="Times New Roman" w:eastAsia="Times New Roman" w:hAnsi="Times New Roman"/>
          <w:sz w:val="17"/>
          <w:szCs w:val="17"/>
          <w:b w:val="1"/>
          <w:bCs w:val="1"/>
          <w:color w:val="auto"/>
        </w:rPr>
        <w:t xml:space="preserve">Michael J. Mazzei </w:t>
      </w:r>
      <w:r>
        <w:rPr>
          <w:rFonts w:ascii="Times New Roman" w:cs="Times New Roman" w:eastAsia="Times New Roman" w:hAnsi="Times New Roman"/>
          <w:sz w:val="17"/>
          <w:szCs w:val="17"/>
          <w:b w:val="1"/>
          <w:bCs w:val="1"/>
          <w:i w:val="1"/>
          <w:iCs w:val="1"/>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3759835</wp:posOffset>
            </wp:positionH>
            <wp:positionV relativeFrom="paragraph">
              <wp:posOffset>-321310</wp:posOffset>
            </wp:positionV>
            <wp:extent cx="3317875"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8">
                      <a:extLst>
                        <a:ext uri="{28A0092B-C50C-407E-A947-70E740481C1C}"/>
                      </a:extLst>
                    </a:blip>
                    <a:srcRect/>
                    <a:stretch>
                      <a:fillRect/>
                    </a:stretch>
                  </pic:blipFill>
                  <pic:spPr bwMode="auto">
                    <a:xfrm>
                      <a:off x="0" y="0"/>
                      <a:ext cx="3317875" cy="8255"/>
                    </a:xfrm>
                    <a:prstGeom prst="rect">
                      <a:avLst/>
                    </a:prstGeom>
                    <a:noFill/>
                  </pic:spPr>
                </pic:pic>
              </a:graphicData>
            </a:graphic>
          </wp:anchor>
        </w:drawing>
      </w:r>
    </w:p>
    <w:p>
      <w:pPr>
        <w:ind w:left="5440"/>
        <w:spacing w:after="0"/>
        <w:tabs>
          <w:tab w:leader="none" w:pos="5920" w:val="left"/>
        </w:tabs>
        <w:rPr>
          <w:sz w:val="20"/>
          <w:szCs w:val="20"/>
          <w:color w:val="auto"/>
        </w:rPr>
      </w:pPr>
      <w:r>
        <w:rPr>
          <w:rFonts w:ascii="Times New Roman" w:cs="Times New Roman" w:eastAsia="Times New Roman" w:hAnsi="Times New Roman"/>
          <w:sz w:val="16"/>
          <w:szCs w:val="16"/>
          <w:color w:val="auto"/>
        </w:rPr>
        <w:t>Date:</w:t>
      </w:r>
      <w:r>
        <w:rPr>
          <w:sz w:val="20"/>
          <w:szCs w:val="20"/>
          <w:color w:val="auto"/>
        </w:rPr>
        <w:tab/>
      </w:r>
      <w:r>
        <w:rPr>
          <w:rFonts w:ascii="Times New Roman" w:cs="Times New Roman" w:eastAsia="Times New Roman" w:hAnsi="Times New Roman"/>
          <w:sz w:val="17"/>
          <w:szCs w:val="17"/>
          <w:color w:val="auto"/>
        </w:rPr>
        <w:t>October 28, 2026</w:t>
      </w:r>
    </w:p>
    <w:p>
      <w:pPr>
        <w:spacing w:after="0" w:line="200" w:lineRule="exact"/>
        <w:rPr>
          <w:sz w:val="20"/>
          <w:szCs w:val="20"/>
          <w:color w:val="auto"/>
        </w:rPr>
      </w:pPr>
    </w:p>
    <w:p>
      <w:pPr>
        <w:spacing w:after="0" w:line="352" w:lineRule="exact"/>
        <w:rPr>
          <w:sz w:val="20"/>
          <w:szCs w:val="20"/>
          <w:color w:val="auto"/>
        </w:rPr>
      </w:pPr>
    </w:p>
    <w:p>
      <w:pPr>
        <w:jc w:val="both"/>
        <w:ind w:firstLine="324"/>
        <w:spacing w:after="0" w:line="280" w:lineRule="auto"/>
        <w:rPr>
          <w:sz w:val="20"/>
          <w:szCs w:val="20"/>
          <w:color w:val="auto"/>
        </w:rPr>
      </w:pPr>
      <w:r>
        <w:rPr>
          <w:rFonts w:ascii="Times New Roman" w:cs="Times New Roman" w:eastAsia="Times New Roman" w:hAnsi="Times New Roman"/>
          <w:sz w:val="16"/>
          <w:szCs w:val="16"/>
          <w:color w:val="auto"/>
        </w:rPr>
        <w:t>The foregoing certification is being furnished solely pursuant to 18 U.S.C §1350 and shall not be deemed filed by the Company for purposes of Section 18 of the Securities Exchange Act of 1934, as amended or incorporated by reference in any registration statement of the Company filed under the Securities Act of 1933, as amended.</w:t>
      </w:r>
    </w:p>
    <w:p>
      <w:pPr>
        <w:spacing w:after="0" w:line="43" w:lineRule="exact"/>
        <w:rPr>
          <w:sz w:val="20"/>
          <w:szCs w:val="20"/>
          <w:color w:val="auto"/>
        </w:rPr>
      </w:pPr>
    </w:p>
    <w:p>
      <w:pPr>
        <w:ind w:firstLine="324"/>
        <w:spacing w:after="0" w:line="298" w:lineRule="auto"/>
        <w:rPr>
          <w:sz w:val="20"/>
          <w:szCs w:val="20"/>
          <w:color w:val="auto"/>
        </w:rPr>
      </w:pPr>
      <w:r>
        <w:rPr>
          <w:rFonts w:ascii="Times New Roman" w:cs="Times New Roman" w:eastAsia="Times New Roman" w:hAnsi="Times New Roman"/>
          <w:sz w:val="16"/>
          <w:szCs w:val="16"/>
          <w:color w:val="auto"/>
        </w:rPr>
        <w:t>A signed original of this written statement required by Section 906 has been provided to the Company and will be retained by the Company and furnished to the Securities and Exchange Commission or its staff upon request.</w:t>
      </w:r>
    </w:p>
    <w:p>
      <w:pPr>
        <w:sectPr>
          <w:pgSz w:w="11900" w:h="16838" w:orient="portrait"/>
          <w:cols w:equalWidth="0" w:num="1">
            <w:col w:w="11240"/>
          </w:cols>
          <w:pgMar w:left="320" w:top="893" w:right="339" w:bottom="1440" w:gutter="0" w:footer="0" w:header="0"/>
        </w:sectPr>
      </w:pPr>
    </w:p>
    <w:bookmarkStart w:id="86" w:name="page87"/>
    <w:bookmarkEnd w:id="86"/>
    <w:p>
      <w:pPr>
        <w:jc w:val="right"/>
        <w:spacing w:after="0"/>
        <w:rPr>
          <w:sz w:val="20"/>
          <w:szCs w:val="20"/>
          <w:color w:val="auto"/>
        </w:rPr>
      </w:pPr>
      <w:r>
        <w:rPr>
          <w:rFonts w:ascii="Times New Roman" w:cs="Times New Roman" w:eastAsia="Times New Roman" w:hAnsi="Times New Roman"/>
          <w:sz w:val="16"/>
          <w:szCs w:val="16"/>
          <w:b w:val="1"/>
          <w:bCs w:val="1"/>
          <w:color w:val="auto"/>
        </w:rPr>
        <w:t>Exhibit 32.2</w:t>
      </w:r>
    </w:p>
    <w:p>
      <w:pPr>
        <w:spacing w:after="0" w:line="248" w:lineRule="exact"/>
        <w:rPr>
          <w:sz w:val="20"/>
          <w:szCs w:val="20"/>
          <w:color w:val="auto"/>
        </w:rPr>
      </w:pPr>
    </w:p>
    <w:p>
      <w:pPr>
        <w:ind w:left="3500"/>
        <w:spacing w:after="0"/>
        <w:rPr>
          <w:sz w:val="20"/>
          <w:szCs w:val="20"/>
          <w:color w:val="auto"/>
        </w:rPr>
      </w:pPr>
      <w:r>
        <w:rPr>
          <w:rFonts w:ascii="Times New Roman" w:cs="Times New Roman" w:eastAsia="Times New Roman" w:hAnsi="Times New Roman"/>
          <w:sz w:val="16"/>
          <w:szCs w:val="16"/>
          <w:b w:val="1"/>
          <w:bCs w:val="1"/>
          <w:color w:val="auto"/>
        </w:rPr>
        <w:t>CERTIFICATION BY THE CHIEF FINANCIAL OFFICER</w:t>
      </w:r>
    </w:p>
    <w:p>
      <w:pPr>
        <w:spacing w:after="0" w:line="28" w:lineRule="exact"/>
        <w:rPr>
          <w:sz w:val="20"/>
          <w:szCs w:val="20"/>
          <w:color w:val="auto"/>
        </w:rPr>
      </w:pPr>
    </w:p>
    <w:p>
      <w:pPr>
        <w:ind w:left="4120"/>
        <w:spacing w:after="0"/>
        <w:rPr>
          <w:sz w:val="20"/>
          <w:szCs w:val="20"/>
          <w:color w:val="auto"/>
        </w:rPr>
      </w:pPr>
      <w:r>
        <w:rPr>
          <w:rFonts w:ascii="Times New Roman" w:cs="Times New Roman" w:eastAsia="Times New Roman" w:hAnsi="Times New Roman"/>
          <w:sz w:val="16"/>
          <w:szCs w:val="16"/>
          <w:b w:val="1"/>
          <w:bCs w:val="1"/>
          <w:color w:val="auto"/>
        </w:rPr>
        <w:t>PURSUANT TO 18 U.S.C. SECTION 1350,</w:t>
      </w:r>
    </w:p>
    <w:p>
      <w:pPr>
        <w:spacing w:after="0" w:line="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AS ADOPTED PURSUANT TO</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SECTION 906 OF THE SARBANES-OXLEY ACT OF 2002</w:t>
      </w:r>
    </w:p>
    <w:p>
      <w:pPr>
        <w:spacing w:after="0" w:line="159" w:lineRule="exact"/>
        <w:rPr>
          <w:sz w:val="20"/>
          <w:szCs w:val="20"/>
          <w:color w:val="auto"/>
        </w:rPr>
      </w:pPr>
    </w:p>
    <w:p>
      <w:pPr>
        <w:jc w:val="both"/>
        <w:ind w:firstLine="356"/>
        <w:spacing w:after="0" w:line="272" w:lineRule="auto"/>
        <w:rPr>
          <w:sz w:val="20"/>
          <w:szCs w:val="20"/>
          <w:color w:val="auto"/>
        </w:rPr>
      </w:pPr>
      <w:r>
        <w:rPr>
          <w:rFonts w:ascii="Times New Roman" w:cs="Times New Roman" w:eastAsia="Times New Roman" w:hAnsi="Times New Roman"/>
          <w:sz w:val="16"/>
          <w:szCs w:val="16"/>
          <w:color w:val="auto"/>
        </w:rPr>
        <w:t>In connection with the Quarterly Report on Form 10-Q of BrightSpire Capital, Inc. (the “Company”) for the three months ended September 30, 2026, as filed with the Securities and Exchange Commission on the date hereof (the “Report”), I, Frank V. Saracino, as Chief Financial Officer of the Company, hereby certify, pursuant to 18 U.S.C. Section §1350, as adopted pursuant to Section §906 of the Sarbanes-Oxley Act of 2002, that, to the best of my knowledge:</w:t>
      </w:r>
    </w:p>
    <w:p>
      <w:pPr>
        <w:spacing w:after="0" w:line="198" w:lineRule="exact"/>
        <w:rPr>
          <w:sz w:val="20"/>
          <w:szCs w:val="20"/>
          <w:color w:val="auto"/>
        </w:rPr>
      </w:pPr>
    </w:p>
    <w:p>
      <w:pPr>
        <w:ind w:left="780" w:hanging="286"/>
        <w:spacing w:after="0"/>
        <w:tabs>
          <w:tab w:leader="none" w:pos="780" w:val="left"/>
        </w:tabs>
        <w:numPr>
          <w:ilvl w:val="0"/>
          <w:numId w:val="5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Report fully complies with the requirements of Section 13(a) or 15(d) of the Securities Exchange Act of 1934; and</w:t>
      </w:r>
    </w:p>
    <w:p>
      <w:pPr>
        <w:spacing w:after="0" w:line="261" w:lineRule="exact"/>
        <w:rPr>
          <w:rFonts w:ascii="Times New Roman" w:cs="Times New Roman" w:eastAsia="Times New Roman" w:hAnsi="Times New Roman"/>
          <w:sz w:val="16"/>
          <w:szCs w:val="16"/>
          <w:color w:val="auto"/>
        </w:rPr>
      </w:pPr>
    </w:p>
    <w:p>
      <w:pPr>
        <w:ind w:left="780" w:hanging="286"/>
        <w:spacing w:after="0"/>
        <w:tabs>
          <w:tab w:leader="none" w:pos="780" w:val="left"/>
        </w:tabs>
        <w:numPr>
          <w:ilvl w:val="0"/>
          <w:numId w:val="5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information contained in the Report fairly presents, in all material respects, the financial condition and results of operations of the Company.</w:t>
      </w:r>
    </w:p>
    <w:p>
      <w:pPr>
        <w:spacing w:after="0" w:line="54" w:lineRule="exact"/>
        <w:rPr>
          <w:rFonts w:ascii="Times New Roman" w:cs="Times New Roman" w:eastAsia="Times New Roman" w:hAnsi="Times New Roman"/>
          <w:sz w:val="16"/>
          <w:szCs w:val="16"/>
          <w:color w:val="auto"/>
        </w:rPr>
      </w:pPr>
    </w:p>
    <w:p>
      <w:pPr>
        <w:ind w:left="556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By:  </w:t>
      </w:r>
      <w:r>
        <w:rPr>
          <w:rFonts w:ascii="Times New Roman" w:cs="Times New Roman" w:eastAsia="Times New Roman" w:hAnsi="Times New Roman"/>
          <w:sz w:val="17"/>
          <w:szCs w:val="17"/>
          <w:color w:val="auto"/>
        </w:rPr>
        <w:t>/s/ Frank V. Saracino</w:t>
      </w:r>
    </w:p>
    <w:p>
      <w:pPr>
        <w:spacing w:after="0" w:line="57" w:lineRule="exact"/>
        <w:rPr>
          <w:rFonts w:ascii="Times New Roman" w:cs="Times New Roman" w:eastAsia="Times New Roman" w:hAnsi="Times New Roman"/>
          <w:sz w:val="16"/>
          <w:szCs w:val="16"/>
          <w:color w:val="auto"/>
        </w:rPr>
      </w:pPr>
    </w:p>
    <w:p>
      <w:pPr>
        <w:ind w:left="5940" w:right="3560"/>
        <w:spacing w:after="0" w:line="300" w:lineRule="auto"/>
        <w:rPr>
          <w:rFonts w:ascii="Times New Roman" w:cs="Times New Roman" w:eastAsia="Times New Roman" w:hAnsi="Times New Roman"/>
          <w:sz w:val="16"/>
          <w:szCs w:val="16"/>
          <w:color w:val="auto"/>
        </w:rPr>
      </w:pPr>
      <w:r>
        <w:rPr>
          <w:rFonts w:ascii="Times New Roman" w:cs="Times New Roman" w:eastAsia="Times New Roman" w:hAnsi="Times New Roman"/>
          <w:sz w:val="17"/>
          <w:szCs w:val="17"/>
          <w:b w:val="1"/>
          <w:bCs w:val="1"/>
          <w:color w:val="auto"/>
        </w:rPr>
        <w:t xml:space="preserve">Frank V. Saracino </w:t>
      </w:r>
      <w:r>
        <w:rPr>
          <w:rFonts w:ascii="Times New Roman" w:cs="Times New Roman" w:eastAsia="Times New Roman" w:hAnsi="Times New Roman"/>
          <w:sz w:val="17"/>
          <w:szCs w:val="17"/>
          <w:b w:val="1"/>
          <w:bCs w:val="1"/>
          <w:i w:val="1"/>
          <w:iCs w:val="1"/>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3759835</wp:posOffset>
            </wp:positionH>
            <wp:positionV relativeFrom="paragraph">
              <wp:posOffset>-321310</wp:posOffset>
            </wp:positionV>
            <wp:extent cx="3317875"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9">
                      <a:extLst>
                        <a:ext uri="{28A0092B-C50C-407E-A947-70E740481C1C}"/>
                      </a:extLst>
                    </a:blip>
                    <a:srcRect/>
                    <a:stretch>
                      <a:fillRect/>
                    </a:stretch>
                  </pic:blipFill>
                  <pic:spPr bwMode="auto">
                    <a:xfrm>
                      <a:off x="0" y="0"/>
                      <a:ext cx="3317875" cy="8255"/>
                    </a:xfrm>
                    <a:prstGeom prst="rect">
                      <a:avLst/>
                    </a:prstGeom>
                    <a:noFill/>
                  </pic:spPr>
                </pic:pic>
              </a:graphicData>
            </a:graphic>
          </wp:anchor>
        </w:drawing>
      </w:r>
    </w:p>
    <w:p>
      <w:pPr>
        <w:ind w:left="5440"/>
        <w:spacing w:after="0"/>
        <w:tabs>
          <w:tab w:leader="none" w:pos="5920" w:val="left"/>
        </w:tabs>
        <w:rPr>
          <w:sz w:val="20"/>
          <w:szCs w:val="20"/>
          <w:color w:val="auto"/>
        </w:rPr>
      </w:pPr>
      <w:r>
        <w:rPr>
          <w:rFonts w:ascii="Times New Roman" w:cs="Times New Roman" w:eastAsia="Times New Roman" w:hAnsi="Times New Roman"/>
          <w:sz w:val="16"/>
          <w:szCs w:val="16"/>
          <w:color w:val="auto"/>
        </w:rPr>
        <w:t>Date:</w:t>
      </w:r>
      <w:r>
        <w:rPr>
          <w:sz w:val="20"/>
          <w:szCs w:val="20"/>
          <w:color w:val="auto"/>
        </w:rPr>
        <w:tab/>
      </w:r>
      <w:r>
        <w:rPr>
          <w:rFonts w:ascii="Times New Roman" w:cs="Times New Roman" w:eastAsia="Times New Roman" w:hAnsi="Times New Roman"/>
          <w:sz w:val="17"/>
          <w:szCs w:val="17"/>
          <w:color w:val="auto"/>
        </w:rPr>
        <w:t>October 28, 2026</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both"/>
        <w:ind w:firstLine="324"/>
        <w:spacing w:after="0" w:line="280" w:lineRule="auto"/>
        <w:rPr>
          <w:sz w:val="20"/>
          <w:szCs w:val="20"/>
          <w:color w:val="auto"/>
        </w:rPr>
      </w:pPr>
      <w:r>
        <w:rPr>
          <w:rFonts w:ascii="Times New Roman" w:cs="Times New Roman" w:eastAsia="Times New Roman" w:hAnsi="Times New Roman"/>
          <w:sz w:val="16"/>
          <w:szCs w:val="16"/>
          <w:color w:val="auto"/>
        </w:rPr>
        <w:t>The foregoing certification is being furnished solely pursuant to 18 U.S.C §1350 and shall not be deemed filed by the Company for purposes of Section 18 of the Securities Exchange Act of 1934, as amended or incorporated by reference in any registration statement of the Company filed under the Securities Act of 1933, as amended.</w:t>
      </w:r>
    </w:p>
    <w:p>
      <w:pPr>
        <w:spacing w:after="0" w:line="43" w:lineRule="exact"/>
        <w:rPr>
          <w:sz w:val="20"/>
          <w:szCs w:val="20"/>
          <w:color w:val="auto"/>
        </w:rPr>
      </w:pPr>
    </w:p>
    <w:p>
      <w:pPr>
        <w:ind w:firstLine="324"/>
        <w:spacing w:after="0" w:line="280" w:lineRule="auto"/>
        <w:rPr>
          <w:sz w:val="20"/>
          <w:szCs w:val="20"/>
          <w:color w:val="auto"/>
        </w:rPr>
      </w:pPr>
      <w:r>
        <w:rPr>
          <w:rFonts w:ascii="Times New Roman" w:cs="Times New Roman" w:eastAsia="Times New Roman" w:hAnsi="Times New Roman"/>
          <w:sz w:val="16"/>
          <w:szCs w:val="16"/>
          <w:color w:val="auto"/>
        </w:rPr>
        <w:t>A signed original of this written statement required by Section 906 has been provided to the Company and will be retained by the Company and furnished to the Securities and Exchange Commission or its staff upon request.</w:t>
      </w:r>
    </w:p>
    <w:sectPr>
      <w:pgSz w:w="11900" w:h="16838" w:orient="portrait"/>
      <w:cols w:equalWidth="0" w:num="1">
        <w:col w:w="11240"/>
      </w:cols>
      <w:pgMar w:left="320" w:top="89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54E49EB4"/>
    <w:multiLevelType w:val="hybridMultilevel"/>
    <w:lvl w:ilvl="0">
      <w:lvlJc w:val="left"/>
      <w:lvlText w:val="☒"/>
      <w:numFmt w:val="bullet"/>
      <w:start w:val="1"/>
    </w:lvl>
  </w:abstractNum>
  <w:abstractNum w:abstractNumId="1">
    <w:nsid w:val="71F32454"/>
    <w:multiLevelType w:val="hybridMultilevel"/>
    <w:lvl w:ilvl="0">
      <w:lvlJc w:val="left"/>
      <w:lvlText w:val="☐"/>
      <w:numFmt w:val="bullet"/>
      <w:start w:val="1"/>
    </w:lvl>
  </w:abstractNum>
  <w:abstractNum w:abstractNumId="2">
    <w:nsid w:val="2CA88611"/>
    <w:multiLevelType w:val="hybridMultilevel"/>
    <w:lvl w:ilvl="0">
      <w:lvlJc w:val="left"/>
      <w:lvlText w:val="•"/>
      <w:numFmt w:val="bullet"/>
      <w:start w:val="1"/>
    </w:lvl>
  </w:abstractNum>
  <w:abstractNum w:abstractNumId="3">
    <w:nsid w:val="836C40E"/>
    <w:multiLevelType w:val="hybridMultilevel"/>
    <w:lvl w:ilvl="0">
      <w:lvlJc w:val="left"/>
      <w:lvlText w:val="(%1)"/>
      <w:numFmt w:val="decimal"/>
      <w:start w:val="1"/>
    </w:lvl>
  </w:abstractNum>
  <w:abstractNum w:abstractNumId="4">
    <w:nsid w:val="2901D82"/>
    <w:multiLevelType w:val="hybridMultilevel"/>
    <w:lvl w:ilvl="0">
      <w:lvlJc w:val="left"/>
      <w:lvlText w:val="%1."/>
      <w:numFmt w:val="decimal"/>
      <w:start w:val="1"/>
    </w:lvl>
  </w:abstractNum>
  <w:abstractNum w:abstractNumId="5">
    <w:nsid w:val="3A95F874"/>
    <w:multiLevelType w:val="hybridMultilevel"/>
    <w:lvl w:ilvl="0">
      <w:lvlJc w:val="left"/>
      <w:lvlText w:val="(%1)"/>
      <w:numFmt w:val="decimal"/>
      <w:start w:val="1"/>
    </w:lvl>
  </w:abstractNum>
  <w:abstractNum w:abstractNumId="6">
    <w:nsid w:val="8138641"/>
    <w:multiLevelType w:val="hybridMultilevel"/>
    <w:lvl w:ilvl="0">
      <w:lvlJc w:val="left"/>
      <w:lvlText w:val="(%1)"/>
      <w:numFmt w:val="decimal"/>
      <w:start w:val="1"/>
    </w:lvl>
  </w:abstractNum>
  <w:abstractNum w:abstractNumId="7">
    <w:nsid w:val="1E7FF521"/>
    <w:multiLevelType w:val="hybridMultilevel"/>
    <w:lvl w:ilvl="0">
      <w:lvlJc w:val="left"/>
      <w:lvlText w:val="(%1)"/>
      <w:numFmt w:val="decimal"/>
      <w:start w:val="1"/>
    </w:lvl>
  </w:abstractNum>
  <w:abstractNum w:abstractNumId="8">
    <w:nsid w:val="7C3DBD3D"/>
    <w:multiLevelType w:val="hybridMultilevel"/>
    <w:lvl w:ilvl="0">
      <w:lvlJc w:val="left"/>
      <w:lvlText w:val="(%1)"/>
      <w:numFmt w:val="decimal"/>
      <w:start w:val="1"/>
    </w:lvl>
  </w:abstractNum>
  <w:abstractNum w:abstractNumId="9">
    <w:nsid w:val="737B8DDC"/>
    <w:multiLevelType w:val="hybridMultilevel"/>
    <w:lvl w:ilvl="0">
      <w:lvlJc w:val="left"/>
      <w:lvlText w:val="(%1)"/>
      <w:numFmt w:val="decimal"/>
      <w:start w:val="1"/>
    </w:lvl>
  </w:abstractNum>
  <w:abstractNum w:abstractNumId="10">
    <w:nsid w:val="6CEAF087"/>
    <w:multiLevelType w:val="hybridMultilevel"/>
    <w:lvl w:ilvl="0">
      <w:lvlJc w:val="left"/>
      <w:lvlText w:val="(%1)"/>
      <w:numFmt w:val="decimal"/>
      <w:start w:val="1"/>
    </w:lvl>
  </w:abstractNum>
  <w:abstractNum w:abstractNumId="11">
    <w:nsid w:val="22221A70"/>
    <w:multiLevelType w:val="hybridMultilevel"/>
    <w:lvl w:ilvl="0">
      <w:lvlJc w:val="left"/>
      <w:lvlText w:val="(%1)"/>
      <w:numFmt w:val="decimal"/>
      <w:start w:val="1"/>
    </w:lvl>
  </w:abstractNum>
  <w:abstractNum w:abstractNumId="12">
    <w:nsid w:val="4516DDE9"/>
    <w:multiLevelType w:val="hybridMultilevel"/>
    <w:lvl w:ilvl="0">
      <w:lvlJc w:val="left"/>
      <w:lvlText w:val="(%1)"/>
      <w:numFmt w:val="decimal"/>
      <w:start w:val="1"/>
    </w:lvl>
  </w:abstractNum>
  <w:abstractNum w:abstractNumId="13">
    <w:nsid w:val="3006C83E"/>
    <w:multiLevelType w:val="hybridMultilevel"/>
    <w:lvl w:ilvl="0">
      <w:lvlJc w:val="left"/>
      <w:lvlText w:val="(%1)"/>
      <w:numFmt w:val="decimal"/>
      <w:start w:val="7"/>
    </w:lvl>
  </w:abstractNum>
  <w:abstractNum w:abstractNumId="14">
    <w:nsid w:val="614FD4A1"/>
    <w:multiLevelType w:val="hybridMultilevel"/>
    <w:lvl w:ilvl="0">
      <w:lvlJc w:val="left"/>
      <w:lvlText w:val="(%1)"/>
      <w:numFmt w:val="decimal"/>
      <w:start w:val="1"/>
    </w:lvl>
  </w:abstractNum>
  <w:abstractNum w:abstractNumId="15">
    <w:nsid w:val="419AC241"/>
    <w:multiLevelType w:val="hybridMultilevel"/>
    <w:lvl w:ilvl="0">
      <w:lvlJc w:val="left"/>
      <w:lvlText w:val="(%1)"/>
      <w:numFmt w:val="decimal"/>
      <w:start w:val="1"/>
    </w:lvl>
  </w:abstractNum>
  <w:abstractNum w:abstractNumId="16">
    <w:nsid w:val="5577F8E1"/>
    <w:multiLevelType w:val="hybridMultilevel"/>
    <w:lvl w:ilvl="0">
      <w:lvlJc w:val="left"/>
      <w:lvlText w:val="(%1)"/>
      <w:numFmt w:val="decimal"/>
      <w:start w:val="1"/>
    </w:lvl>
  </w:abstractNum>
  <w:abstractNum w:abstractNumId="17">
    <w:nsid w:val="440BADFC"/>
    <w:multiLevelType w:val="hybridMultilevel"/>
    <w:lvl w:ilvl="0">
      <w:lvlJc w:val="left"/>
      <w:lvlText w:val="•"/>
      <w:numFmt w:val="bullet"/>
      <w:start w:val="1"/>
    </w:lvl>
  </w:abstractNum>
  <w:abstractNum w:abstractNumId="18">
    <w:nsid w:val="5072367"/>
    <w:multiLevelType w:val="hybridMultilevel"/>
    <w:lvl w:ilvl="0">
      <w:lvlJc w:val="left"/>
      <w:lvlText w:val="(%1)"/>
      <w:numFmt w:val="decimal"/>
      <w:start w:val="1"/>
    </w:lvl>
  </w:abstractNum>
  <w:abstractNum w:abstractNumId="19">
    <w:nsid w:val="3804823E"/>
    <w:multiLevelType w:val="hybridMultilevel"/>
    <w:lvl w:ilvl="0">
      <w:lvlJc w:val="left"/>
      <w:lvlText w:val="(%1)"/>
      <w:numFmt w:val="decimal"/>
      <w:start w:val="1"/>
    </w:lvl>
  </w:abstractNum>
  <w:abstractNum w:abstractNumId="20">
    <w:nsid w:val="77465F01"/>
    <w:multiLevelType w:val="hybridMultilevel"/>
    <w:lvl w:ilvl="0">
      <w:lvlJc w:val="left"/>
      <w:lvlText w:val="(%1)"/>
      <w:numFmt w:val="decimal"/>
      <w:start w:val="1"/>
    </w:lvl>
  </w:abstractNum>
  <w:abstractNum w:abstractNumId="21">
    <w:nsid w:val="7724C67E"/>
    <w:multiLevelType w:val="hybridMultilevel"/>
    <w:lvl w:ilvl="0">
      <w:lvlJc w:val="left"/>
      <w:lvlText w:val="•"/>
      <w:numFmt w:val="bullet"/>
      <w:start w:val="1"/>
    </w:lvl>
  </w:abstractNum>
  <w:abstractNum w:abstractNumId="22">
    <w:nsid w:val="5C482A97"/>
    <w:multiLevelType w:val="hybridMultilevel"/>
    <w:lvl w:ilvl="0">
      <w:lvlJc w:val="left"/>
      <w:lvlText w:val="•"/>
      <w:numFmt w:val="bullet"/>
      <w:start w:val="1"/>
    </w:lvl>
  </w:abstractNum>
  <w:abstractNum w:abstractNumId="23">
    <w:nsid w:val="2463B9EA"/>
    <w:multiLevelType w:val="hybridMultilevel"/>
    <w:lvl w:ilvl="0">
      <w:lvlJc w:val="left"/>
      <w:lvlText w:val="•"/>
      <w:numFmt w:val="bullet"/>
      <w:start w:val="1"/>
    </w:lvl>
  </w:abstractNum>
  <w:abstractNum w:abstractNumId="24">
    <w:nsid w:val="5E884ADC"/>
    <w:multiLevelType w:val="hybridMultilevel"/>
    <w:lvl w:ilvl="0">
      <w:lvlJc w:val="left"/>
      <w:lvlText w:val="•"/>
      <w:numFmt w:val="bullet"/>
      <w:start w:val="1"/>
    </w:lvl>
    <w:lvl w:ilvl="1">
      <w:lvlJc w:val="left"/>
      <w:lvlText w:val="◦"/>
      <w:numFmt w:val="bullet"/>
      <w:start w:val="1"/>
    </w:lvl>
  </w:abstractNum>
  <w:abstractNum w:abstractNumId="25">
    <w:nsid w:val="51EAD36B"/>
    <w:multiLevelType w:val="hybridMultilevel"/>
    <w:lvl w:ilvl="0">
      <w:lvlJc w:val="left"/>
      <w:lvlText w:val="•"/>
      <w:numFmt w:val="bullet"/>
      <w:start w:val="1"/>
    </w:lvl>
  </w:abstractNum>
  <w:abstractNum w:abstractNumId="26">
    <w:nsid w:val="2D517796"/>
    <w:multiLevelType w:val="hybridMultilevel"/>
    <w:lvl w:ilvl="0">
      <w:lvlJc w:val="left"/>
      <w:lvlText w:val="•"/>
      <w:numFmt w:val="bullet"/>
      <w:start w:val="1"/>
    </w:lvl>
  </w:abstractNum>
  <w:abstractNum w:abstractNumId="27">
    <w:nsid w:val="580BD78F"/>
    <w:multiLevelType w:val="hybridMultilevel"/>
    <w:lvl w:ilvl="0">
      <w:lvlJc w:val="left"/>
      <w:lvlText w:val="•"/>
      <w:numFmt w:val="bullet"/>
      <w:start w:val="1"/>
    </w:lvl>
  </w:abstractNum>
  <w:abstractNum w:abstractNumId="28">
    <w:nsid w:val="153EA438"/>
    <w:multiLevelType w:val="hybridMultilevel"/>
    <w:lvl w:ilvl="0">
      <w:lvlJc w:val="left"/>
      <w:lvlText w:val="(%1)"/>
      <w:numFmt w:val="decimal"/>
      <w:start w:val="1"/>
    </w:lvl>
  </w:abstractNum>
  <w:abstractNum w:abstractNumId="29">
    <w:nsid w:val="3855585C"/>
    <w:multiLevelType w:val="hybridMultilevel"/>
    <w:lvl w:ilvl="0">
      <w:lvlJc w:val="left"/>
      <w:lvlText w:val="%1."/>
      <w:numFmt w:val="decimal"/>
      <w:start w:val="1"/>
    </w:lvl>
  </w:abstractNum>
  <w:abstractNum w:abstractNumId="30">
    <w:nsid w:val="70A64E2A"/>
    <w:multiLevelType w:val="hybridMultilevel"/>
    <w:lvl w:ilvl="0">
      <w:lvlJc w:val="left"/>
      <w:lvlText w:val="%1."/>
      <w:numFmt w:val="decimal"/>
      <w:start w:val="4"/>
    </w:lvl>
  </w:abstractNum>
  <w:abstractNum w:abstractNumId="31">
    <w:nsid w:val="6A2342EC"/>
    <w:multiLevelType w:val="hybridMultilevel"/>
    <w:lvl w:ilvl="0">
      <w:lvlJc w:val="left"/>
      <w:lvlText w:val="•"/>
      <w:numFmt w:val="bullet"/>
      <w:start w:val="1"/>
    </w:lvl>
  </w:abstractNum>
  <w:abstractNum w:abstractNumId="32">
    <w:nsid w:val="2A487CB0"/>
    <w:multiLevelType w:val="hybridMultilevel"/>
    <w:lvl w:ilvl="0">
      <w:lvlJc w:val="left"/>
      <w:lvlText w:val="(%1)"/>
      <w:numFmt w:val="decimal"/>
      <w:start w:val="1"/>
    </w:lvl>
  </w:abstractNum>
  <w:abstractNum w:abstractNumId="33">
    <w:nsid w:val="1D4ED43B"/>
    <w:multiLevelType w:val="hybridMultilevel"/>
    <w:lvl w:ilvl="0">
      <w:lvlJc w:val="left"/>
      <w:lvlText w:val="(%1)"/>
      <w:numFmt w:val="decimal"/>
      <w:start w:val="1"/>
    </w:lvl>
  </w:abstractNum>
  <w:abstractNum w:abstractNumId="34">
    <w:nsid w:val="725A06FB"/>
    <w:multiLevelType w:val="hybridMultilevel"/>
    <w:lvl w:ilvl="0">
      <w:lvlJc w:val="left"/>
      <w:lvlText w:val="(%1)"/>
      <w:numFmt w:val="decimal"/>
      <w:start w:val="1"/>
    </w:lvl>
  </w:abstractNum>
  <w:abstractNum w:abstractNumId="35">
    <w:nsid w:val="2CD89A32"/>
    <w:multiLevelType w:val="hybridMultilevel"/>
    <w:lvl w:ilvl="0">
      <w:lvlJc w:val="left"/>
      <w:lvlText w:val="(%1)"/>
      <w:numFmt w:val="decimal"/>
      <w:start w:val="1"/>
    </w:lvl>
  </w:abstractNum>
  <w:abstractNum w:abstractNumId="36">
    <w:nsid w:val="57E4CCAF"/>
    <w:multiLevelType w:val="hybridMultilevel"/>
    <w:lvl w:ilvl="0">
      <w:lvlJc w:val="left"/>
      <w:lvlText w:val="(%1)"/>
      <w:numFmt w:val="decimal"/>
      <w:start w:val="1"/>
    </w:lvl>
  </w:abstractNum>
  <w:abstractNum w:abstractNumId="37">
    <w:nsid w:val="7A6D8D3C"/>
    <w:multiLevelType w:val="hybridMultilevel"/>
    <w:lvl w:ilvl="0">
      <w:lvlJc w:val="left"/>
      <w:lvlText w:val="(%1)"/>
      <w:numFmt w:val="decimal"/>
      <w:start w:val="1"/>
    </w:lvl>
  </w:abstractNum>
  <w:abstractNum w:abstractNumId="38">
    <w:nsid w:val="4B588F54"/>
    <w:multiLevelType w:val="hybridMultilevel"/>
    <w:lvl w:ilvl="0">
      <w:lvlJc w:val="left"/>
      <w:lvlText w:val="(%1)"/>
      <w:numFmt w:val="decimal"/>
      <w:start w:val="1"/>
    </w:lvl>
  </w:abstractNum>
  <w:abstractNum w:abstractNumId="39">
    <w:nsid w:val="542289EC"/>
    <w:multiLevelType w:val="hybridMultilevel"/>
    <w:lvl w:ilvl="0">
      <w:lvlJc w:val="left"/>
      <w:lvlText w:val="(%1)"/>
      <w:numFmt w:val="decimal"/>
      <w:start w:val="1"/>
    </w:lvl>
  </w:abstractNum>
  <w:abstractNum w:abstractNumId="40">
    <w:nsid w:val="6DE91B18"/>
    <w:multiLevelType w:val="hybridMultilevel"/>
    <w:lvl w:ilvl="0">
      <w:lvlJc w:val="left"/>
      <w:lvlText w:val="(%1)"/>
      <w:numFmt w:val="decimal"/>
      <w:start w:val="1"/>
    </w:lvl>
  </w:abstractNum>
  <w:abstractNum w:abstractNumId="41">
    <w:nsid w:val="38437FDB"/>
    <w:multiLevelType w:val="hybridMultilevel"/>
    <w:lvl w:ilvl="0">
      <w:lvlJc w:val="left"/>
      <w:lvlText w:val="(%1)"/>
      <w:numFmt w:val="decimal"/>
      <w:start w:val="1"/>
    </w:lvl>
  </w:abstractNum>
  <w:abstractNum w:abstractNumId="42">
    <w:nsid w:val="7644A45C"/>
    <w:multiLevelType w:val="hybridMultilevel"/>
    <w:lvl w:ilvl="0">
      <w:lvlJc w:val="left"/>
      <w:lvlText w:val="(%1)"/>
      <w:numFmt w:val="decimal"/>
      <w:start w:val="1"/>
    </w:lvl>
  </w:abstractNum>
  <w:abstractNum w:abstractNumId="43">
    <w:nsid w:val="32FFF902"/>
    <w:multiLevelType w:val="hybridMultilevel"/>
    <w:lvl w:ilvl="0">
      <w:lvlJc w:val="left"/>
      <w:lvlText w:val="(%1)"/>
      <w:numFmt w:val="decimal"/>
      <w:start w:val="1"/>
    </w:lvl>
  </w:abstractNum>
  <w:abstractNum w:abstractNumId="44">
    <w:nsid w:val="684A481A"/>
    <w:multiLevelType w:val="hybridMultilevel"/>
    <w:lvl w:ilvl="0">
      <w:lvlJc w:val="left"/>
      <w:lvlText w:val="(%1)"/>
      <w:numFmt w:val="decimal"/>
      <w:start w:val="1"/>
    </w:lvl>
  </w:abstractNum>
  <w:abstractNum w:abstractNumId="45">
    <w:nsid w:val="579478FE"/>
    <w:multiLevelType w:val="hybridMultilevel"/>
    <w:lvl w:ilvl="0">
      <w:lvlJc w:val="left"/>
      <w:lvlText w:val="(%1)"/>
      <w:numFmt w:val="decimal"/>
      <w:start w:val="1"/>
    </w:lvl>
  </w:abstractNum>
  <w:abstractNum w:abstractNumId="46">
    <w:nsid w:val="749ABB43"/>
    <w:multiLevelType w:val="hybridMultilevel"/>
    <w:lvl w:ilvl="0">
      <w:lvlJc w:val="left"/>
      <w:lvlText w:val="•"/>
      <w:numFmt w:val="bullet"/>
      <w:start w:val="1"/>
    </w:lvl>
  </w:abstractNum>
  <w:abstractNum w:abstractNumId="47">
    <w:nsid w:val="3DC240FB"/>
    <w:multiLevelType w:val="hybridMultilevel"/>
    <w:lvl w:ilvl="0">
      <w:lvlJc w:val="left"/>
      <w:lvlText w:val="(%1)"/>
      <w:numFmt w:val="decimal"/>
      <w:start w:val="1"/>
    </w:lvl>
  </w:abstractNum>
  <w:abstractNum w:abstractNumId="48">
    <w:nsid w:val="1BA026FA"/>
    <w:multiLevelType w:val="hybridMultilevel"/>
    <w:lvl w:ilvl="0">
      <w:lvlJc w:val="left"/>
      <w:lvlText w:val="†"/>
      <w:numFmt w:val="bullet"/>
      <w:start w:val="1"/>
    </w:lvl>
  </w:abstractNum>
  <w:abstractNum w:abstractNumId="49">
    <w:nsid w:val="79A1DEAA"/>
    <w:multiLevelType w:val="hybridMultilevel"/>
    <w:lvl w:ilvl="0">
      <w:lvlJc w:val="left"/>
      <w:lvlText w:val="%1."/>
      <w:numFmt w:val="decimal"/>
      <w:start w:val="1"/>
    </w:lvl>
    <w:lvl w:ilvl="1">
      <w:lvlJc w:val="left"/>
      <w:lvlText w:val="(%2)"/>
      <w:numFmt w:val="lowerLetter"/>
      <w:start w:val="1"/>
    </w:lvl>
  </w:abstractNum>
  <w:abstractNum w:abstractNumId="50">
    <w:nsid w:val="75C6C33A"/>
    <w:multiLevelType w:val="hybridMultilevel"/>
    <w:lvl w:ilvl="0">
      <w:lvlJc w:val="left"/>
      <w:lvlText w:val="%1."/>
      <w:numFmt w:val="decimal"/>
      <w:start w:val="1"/>
    </w:lvl>
    <w:lvl w:ilvl="1">
      <w:lvlJc w:val="left"/>
      <w:lvlText w:val="(%2)"/>
      <w:numFmt w:val="lowerLetter"/>
      <w:start w:val="1"/>
    </w:lvl>
  </w:abstractNum>
  <w:abstractNum w:abstractNumId="51">
    <w:nsid w:val="12E685FB"/>
    <w:multiLevelType w:val="hybridMultilevel"/>
    <w:lvl w:ilvl="0">
      <w:lvlJc w:val="left"/>
      <w:lvlText w:val="%1."/>
      <w:numFmt w:val="decimal"/>
      <w:start w:val="1"/>
    </w:lvl>
  </w:abstractNum>
  <w:abstractNum w:abstractNumId="52">
    <w:nsid w:val="70C6A529"/>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3" Type="http://schemas.openxmlformats.org/officeDocument/2006/relationships/image" Target="media/image94.png"/><Relationship Id="rId104" Type="http://schemas.openxmlformats.org/officeDocument/2006/relationships/image" Target="media/image95.png"/><Relationship Id="rId105" Type="http://schemas.openxmlformats.org/officeDocument/2006/relationships/image" Target="media/image96.png"/><Relationship Id="rId106" Type="http://schemas.openxmlformats.org/officeDocument/2006/relationships/image" Target="media/image97.png"/><Relationship Id="rId107" Type="http://schemas.openxmlformats.org/officeDocument/2006/relationships/image" Target="media/image98.png"/><Relationship Id="rId108" Type="http://schemas.openxmlformats.org/officeDocument/2006/relationships/image" Target="media/image99.png"/><Relationship Id="rId109" Type="http://schemas.openxmlformats.org/officeDocument/2006/relationships/image" Target="media/image100.png"/><Relationship Id="rId101" Type="http://schemas.openxmlformats.org/officeDocument/2006/relationships/hyperlink" Target="https://www.sec.gov/Archives/edgar/data/1717547/000171754721000035/brsp06302021exhibit31.htm" TargetMode="External"/><Relationship Id="rId102" Type="http://schemas.openxmlformats.org/officeDocument/2006/relationships/hyperlink" Target="https://www.sec.gov/Archives/edgar/data/1717547/000171754723000064/brsp03312023exhibit3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2026-10-28T16:01:35Z</dcterms:created>
  <dcterms:modified xsi:type="dcterms:W3CDTF">2026-10-28T16:01:35Z</dcterms:modified>
</cp:coreProperties>
</file>