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color w:val="000000"/>
          <w:sz w:val="24"/>
        </w:rPr>
        <w:t>September 14,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BrightSpire Capital,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38-4046290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590 Madison Avenue, 33rd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10022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547-2631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l4a-12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308" w:type="dxa"/>
        <w:jc w:val="left"/>
        <w:tblInd w:w="0" w:type="dxa"/>
        <w:tblLayout w:type="fixed"/>
        <w:tblCellMar>
          <w:top w:w="28" w:type="dxa"/>
          <w:left w:w="28" w:type="dxa"/>
          <w:bottom w:w="28" w:type="dxa"/>
          <w:right w:w="28" w:type="dxa"/>
        </w:tblCellMar>
      </w:tblPr>
      <w:tblGrid>
        <w:gridCol w:w="331"/>
        <w:gridCol w:w="290"/>
        <w:gridCol w:w="293"/>
        <w:gridCol w:w="1286"/>
        <w:gridCol w:w="1286"/>
        <w:gridCol w:w="182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2.01</w:t>
            </w:r>
          </w:p>
        </w:tc>
        <w:tc>
          <w:tcPr>
            <w:tcW w:w="43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Completion of Acquisition or Disposition of Assets.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(the “Effective Date”), CLNC NNN Alberts AZ, LLC, a Delaware limited liability company, and CLNC NNN Alberts CA, LLC, a Delaware limited liability company (together, the “Sellers”, which are subsidiaries of BrightSpire Capital, Inc., the “Company”), entered into an Agreement for Purchase and Sale of Real Estate (the “Purchase and Sale Agreement”), with ALTOAZ001 LLC, a Delaware limited liability company, and ALTRCA001 LLC, a Delaware limited liability company (together, the “Purchasers”), whereby the Sellers agreed to sell two industrial real properties and improvements located in Tolleson, Arizona and Tracy, California (the Company’s “Net Lease 1 Investment”).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14, 2026, the Sellers completed the sale of the Net Lease 1 Investment. The consideration for the sale of the Net Lease 1 Investment totaled $300.0 million, consisting of (i) the Purchasers’ assumption of an existing mortgage loan in the original principal amount of $94.0 million, (ii) the assumption by an affiliate of the Purchasers of an existing mezzanine loan in the original principal amount of $106.0 million, in each case secured by or related to the Net Lease 1 Investment and (iii) $97.9 million of cash, net of closing and other transaction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of the Company, together with the related notes thereto, after giving effect to the sale of the Net Lease 1 Investment is attached hereto as Exhibit 99.1 to this Current Report on Form 8-K and incorporated herein by reference.</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479"/>
        <w:gridCol w:w="479"/>
        <w:gridCol w:w="479"/>
        <w:gridCol w:w="479"/>
        <w:gridCol w:w="479"/>
        <w:gridCol w:w="68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160" w:after="160"/>
        <w:jc w:val="both"/>
        <w:rPr/>
      </w:pPr>
      <w:r>
        <w:rPr/>
      </w:r>
    </w:p>
    <w:p>
      <w:pPr>
        <w:pStyle w:val="TextBody"/>
        <w:bidi w:val="0"/>
        <w:spacing w:lineRule="auto" w:line="268" w:before="0" w:after="0"/>
        <w:ind w:left="0" w:right="0" w:firstLine="484"/>
        <w:jc w:val="left"/>
        <w:rPr/>
      </w:pPr>
      <w:r>
        <w:rPr>
          <w:rFonts w:ascii="Times New Roman;serif" w:hAnsi="Times New Roman;serif"/>
          <w:b w:val="false"/>
          <w:i/>
          <w:color w:val="000000"/>
          <w:sz w:val="20"/>
        </w:rPr>
        <w:t>(d) Exhibits.</w:t>
      </w:r>
      <w:r>
        <w:rPr>
          <w:color w:val="000000"/>
        </w:rPr>
        <w:t xml:space="preserve"> </w:t>
      </w:r>
      <w:r>
        <w:rPr>
          <w:rFonts w:ascii="Times New Roman;serif" w:hAnsi="Times New Roman;serif"/>
          <w:b w:val="false"/>
          <w:color w:val="000000"/>
          <w:sz w:val="20"/>
        </w:rPr>
        <w:t>The following exhibits are being furnished herewith to this Current Report on Form 8-K.</w:t>
      </w:r>
    </w:p>
    <w:p>
      <w:pPr>
        <w:pStyle w:val="TextBody"/>
        <w:bidi w:val="0"/>
        <w:spacing w:before="0" w:after="0"/>
        <w:jc w:val="left"/>
        <w:rPr/>
      </w:pPr>
      <w:r>
        <w:rPr/>
      </w:r>
    </w:p>
    <w:tbl>
      <w:tblPr>
        <w:tblW w:w="8238"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99"/>
        <w:gridCol w:w="1999"/>
        <w:gridCol w:w="283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82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68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ind w:left="0" w:right="0" w:firstLine="22"/>
              <w:jc w:val="left"/>
              <w:rPr/>
            </w:pPr>
            <w:hyperlink w:anchor="brsp8-k09142026exhibit991.htm">
              <w:r>
                <w:rPr>
                  <w:rStyle w:val="InternetLink"/>
                  <w:rFonts w:ascii="Times New Roman;serif" w:hAnsi="Times New Roman;serif"/>
                  <w:b w:val="false"/>
                  <w:color w:val="0000FF"/>
                  <w:sz w:val="20"/>
                  <w:u w:val="single"/>
                </w:rPr>
                <w:t>Unaudited Pro Forma Condensed Financial Statements of BrightSpire Capital, Inc.</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2"/>
              <w:jc w:val="left"/>
              <w:rPr>
                <w:sz w:val="4"/>
                <w:szCs w:val="4"/>
              </w:rPr>
            </w:pPr>
            <w:r>
              <w:rPr>
                <w:sz w:val="4"/>
                <w:szCs w:val="4"/>
              </w:rPr>
            </w:r>
          </w:p>
        </w:tc>
        <w:tc>
          <w:tcPr>
            <w:tcW w:w="6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6125" w:type="dxa"/>
        <w:jc w:val="left"/>
        <w:tblInd w:w="0" w:type="dxa"/>
        <w:tblLayout w:type="fixed"/>
        <w:tblCellMar>
          <w:top w:w="28" w:type="dxa"/>
          <w:left w:w="28" w:type="dxa"/>
          <w:bottom w:w="28" w:type="dxa"/>
          <w:right w:w="28" w:type="dxa"/>
        </w:tblCellMar>
      </w:tblPr>
      <w:tblGrid>
        <w:gridCol w:w="802"/>
        <w:gridCol w:w="707"/>
        <w:gridCol w:w="711"/>
        <w:gridCol w:w="422"/>
        <w:gridCol w:w="422"/>
        <w:gridCol w:w="422"/>
        <w:gridCol w:w="769"/>
        <w:gridCol w:w="769"/>
        <w:gridCol w:w="110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3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BRIGHTSPIRE CAPITAL,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 Palamé</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Palamé</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Introduction to Unaudited Pro Forma Condensed Consolidated Financial Statements</w:t>
      </w:r>
    </w:p>
    <w:p>
      <w:pPr>
        <w:pStyle w:val="TextBody"/>
        <w:bidi w:val="0"/>
        <w:spacing w:before="60" w:after="283"/>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the Sellers entered into the Purchase and Sale Agreement with the Purchasers, pursuant to which the Purchasers agreed to acquire the Net Lease 1 Investment for total consideration of $300.0 million, subject to customary prorations and adjustments, which constitutes a significant disposition of assets.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was satisfied through (i) the Purchasers’ assumption of an existing mortgage loan in the original principal amount of $94.0 million and (ii) the assumption by an affiliate of the Purchasers of an existing mezzanine loan in the original principal amount of $106.0 million, in each case secured by or related to the Net Lease 1 Investment, with the remaining balance of the Purchase Price paid in cash at closing. The sale closed on September 14, 2026, following satisfaction of the closing conditions set forth in the Purchase and Sale Agreement, including lender approval of the assumption of the mortgage and mezzanine loans.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Unaudited Pro Forma Condensed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presents the Company’s unaudited condensed consolidated balance sheet as of June 30, 2026, as if the sale had been completed on that date. The unaudited pro forma condensed consolidated statements of operations and unaudited pro forma condensed consolidated statements of comprehensive income for the six months ended June 30, 2026 and for the year ended December 31, 2025 present the Company’s results of operations as if the sale had occurred on January 1, 2025, the beginning of the earliest period presented.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consolidated financial statements are prepared in accordance with Article 11 of Regulation S-X. The pro forma adjustments are described in the accompanying notes and are based upon information and assumptions available at the time of filing this report on Form 8-K.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is based on financial statements prepared in accordance with U.S. generally accepted accounting principles. The unaudited pro forma condensed consolidated financial statements were based on and derived from the Company’s historical consolidated financial statements. Actual adjustments, however, may differ materially from the information presented. Pro forma adjustments have been made in the accompanying pro forma condensed consolidated balance sheet as of June 30, 2026, and pro forma condensed consolidated statement of operations for the year ended December 31, 2025 for the estimated gain on sale, while no adjustments have been made for the use of proceeds resulting from the sale. Pro forma adjustments do not include allocation of corporate costs, as those are not directly attributable to the sale. In addition, the unaudited pro forma financial information is based upon available information and assumptions that management considers to be reasonable, and such assumptions have been made solely for purposes of developing such unaudited pro forma financial information for illustrative purposes in compliance with the disclosure requirements of the SEC. The unaudited pro forma financial information is not necessarily indicative of what the financial position or income statement results would have actually been had the sale occurred on the dates indicated. As a result of the factors above, these unaudited pro forma condensed consolidated financial statements should not be indicative of our future consolidated financial performance or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PRO FORMA CONSOLIDATED BALANCE SHEET</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0"/>
        <w:gridCol w:w="1229"/>
        <w:gridCol w:w="1240"/>
        <w:gridCol w:w="109"/>
        <w:gridCol w:w="109"/>
        <w:gridCol w:w="109"/>
        <w:gridCol w:w="226"/>
        <w:gridCol w:w="1008"/>
        <w:gridCol w:w="126"/>
        <w:gridCol w:w="109"/>
        <w:gridCol w:w="109"/>
        <w:gridCol w:w="109"/>
        <w:gridCol w:w="471"/>
        <w:gridCol w:w="1808"/>
        <w:gridCol w:w="262"/>
        <w:gridCol w:w="125"/>
        <w:gridCol w:w="125"/>
        <w:gridCol w:w="125"/>
        <w:gridCol w:w="197"/>
        <w:gridCol w:w="877"/>
        <w:gridCol w:w="162"/>
      </w:tblGrid>
      <w:tr>
        <w:trPr/>
        <w:tc>
          <w:tcPr>
            <w:tcW w:w="157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HISTORICAL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preferred equity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2,893,663 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2,893,663 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expected credit loss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preferred equity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2,795,005 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2,795,005 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 and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(223,133)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3,747,733 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(139,561)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3,608,172 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bonds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1,407,850 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1,407,850 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and other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2,898,352 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(199,957)</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2,698,395 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50,000,000 shares authorized, no shares issued and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950,000,000 shares authorized, 126,789,991 shares issued and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2,845,471 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2,845,471 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(1,983,759)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(1,923,363)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60,396 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60,396 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909,777 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3,747,733 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(139,561)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3,608,172 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Company’s historical consolidated balance sheet as of June 30, 2026, which was derived from the Company’s Quarterly Report on Form 10-Q for the quarter ended June 30, 2026.</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The accompanying notes are an integral part of these unaudited pro forma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PRO FORMA CONSOLIDATED STATEMENT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2"/>
        <w:gridCol w:w="1105"/>
        <w:gridCol w:w="1109"/>
        <w:gridCol w:w="109"/>
        <w:gridCol w:w="109"/>
        <w:gridCol w:w="109"/>
        <w:gridCol w:w="257"/>
        <w:gridCol w:w="970"/>
        <w:gridCol w:w="145"/>
        <w:gridCol w:w="109"/>
        <w:gridCol w:w="109"/>
        <w:gridCol w:w="109"/>
        <w:gridCol w:w="710"/>
        <w:gridCol w:w="1746"/>
        <w:gridCol w:w="397"/>
        <w:gridCol w:w="129"/>
        <w:gridCol w:w="129"/>
        <w:gridCol w:w="129"/>
        <w:gridCol w:w="210"/>
        <w:gridCol w:w="790"/>
        <w:gridCol w:w="173"/>
      </w:tblGrid>
      <w:tr>
        <w:trPr/>
        <w:tc>
          <w:tcPr>
            <w:tcW w:w="155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HISTORICAL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(10,133)</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67,096 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(10,133)</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(including $2,918 of 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(9,328)</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107,442 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equity in earnings of unconsolidated ventures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 of unconsolidated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BrightSpire Capital, Inc.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 average shares of common stock outstanding - 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of common stock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126,324 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Company’s historical statement of operations for the six months ended June 30, 2026, which was derived from the Company’s Quarterly Report on Form 10-Q for the quarter ended June 30, 2026.</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PRO FORMA CONSOLIDATED STATEMENT OF COMPREHENSIVE INCOME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1235"/>
        <w:gridCol w:w="1064"/>
        <w:gridCol w:w="1077"/>
        <w:gridCol w:w="109"/>
        <w:gridCol w:w="109"/>
        <w:gridCol w:w="109"/>
        <w:gridCol w:w="281"/>
        <w:gridCol w:w="948"/>
        <w:gridCol w:w="157"/>
        <w:gridCol w:w="109"/>
        <w:gridCol w:w="109"/>
        <w:gridCol w:w="109"/>
        <w:gridCol w:w="851"/>
        <w:gridCol w:w="1893"/>
        <w:gridCol w:w="474"/>
        <w:gridCol w:w="135"/>
        <w:gridCol w:w="135"/>
        <w:gridCol w:w="135"/>
        <w:gridCol w:w="216"/>
        <w:gridCol w:w="774"/>
        <w:gridCol w:w="176"/>
      </w:tblGrid>
      <w:tr>
        <w:trPr/>
        <w:tc>
          <w:tcPr>
            <w:tcW w:w="123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HISTORICAL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(14,293)</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Company’s historical statement of comprehensive income for the six months ended June 30, 2026, which was derived from the Company’s Quarterly Report on Form 10-Q for the quarter ended June 30, 2026.</w:t>
      </w:r>
    </w:p>
    <w:p>
      <w:pPr>
        <w:pStyle w:val="TextBody"/>
        <w:bidi w:val="0"/>
        <w:spacing w:lineRule="auto" w:line="288" w:before="240" w:after="60"/>
        <w:jc w:val="center"/>
        <w:rPr>
          <w:rFonts w:ascii="Times New Roman;serif" w:hAnsi="Times New Roman;serif"/>
          <w:b/>
          <w:color w:val="000000"/>
          <w:sz w:val="18"/>
        </w:rPr>
      </w:pPr>
      <w:r>
        <w:rPr>
          <w:rFonts w:ascii="Times New Roman;serif" w:hAnsi="Times New Roman;serif"/>
          <w:b/>
          <w:color w:val="000000"/>
          <w:sz w:val="18"/>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PRO FORMA CONSOLIDATED STATEMENT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61"/>
        <w:gridCol w:w="1109"/>
        <w:gridCol w:w="1114"/>
        <w:gridCol w:w="109"/>
        <w:gridCol w:w="109"/>
        <w:gridCol w:w="109"/>
        <w:gridCol w:w="257"/>
        <w:gridCol w:w="970"/>
        <w:gridCol w:w="145"/>
        <w:gridCol w:w="109"/>
        <w:gridCol w:w="109"/>
        <w:gridCol w:w="109"/>
        <w:gridCol w:w="584"/>
        <w:gridCol w:w="1927"/>
        <w:gridCol w:w="325"/>
        <w:gridCol w:w="129"/>
        <w:gridCol w:w="129"/>
        <w:gridCol w:w="129"/>
        <w:gridCol w:w="210"/>
        <w:gridCol w:w="790"/>
        <w:gridCol w:w="172"/>
      </w:tblGrid>
      <w:tr>
        <w:trPr/>
        <w:tc>
          <w:tcPr>
            <w:tcW w:w="156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HISTORICAL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(20,267)</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(20,267)</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investment and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of current expected credit loss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(including $12,836 of 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2(A)</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261,329 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(18,726)</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242,603 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2(B)</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equity in earnings of unconsolidated ventures and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BrightSpire Capital, Inc.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(31,148)</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per common share - 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per common share - 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 average shares of common stock outstanding - 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of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126,883 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2,369 </w:t>
            </w:r>
          </w:p>
        </w:tc>
        <w:tc>
          <w:tcPr>
            <w:tcW w:w="3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2(C)</w:t>
            </w:r>
          </w:p>
        </w:tc>
        <w:tc>
          <w:tcPr>
            <w:tcW w:w="10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129,252 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Company’s historical statement of operations for the year ended December 31, 2025, which was derived from the Company’s Annual Report on Form 10-K for the year ended December 31, 2025.</w:t>
      </w:r>
    </w:p>
    <w:p>
      <w:pPr>
        <w:pStyle w:val="TextBody"/>
        <w:bidi w:val="0"/>
        <w:spacing w:lineRule="auto" w:line="288" w:before="240" w:after="60"/>
        <w:jc w:val="center"/>
        <w:rPr>
          <w:rFonts w:ascii="Times New Roman;serif" w:hAnsi="Times New Roman;serif"/>
          <w:b/>
          <w:color w:val="000000"/>
          <w:sz w:val="18"/>
        </w:rPr>
      </w:pPr>
      <w:r>
        <w:rPr>
          <w:rFonts w:ascii="Times New Roman;serif" w:hAnsi="Times New Roman;serif"/>
          <w:b/>
          <w:color w:val="000000"/>
          <w:sz w:val="18"/>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PRO FORMA CONSOLIDATED STATEMENT OF COMPREHENSIVE INCOME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1402"/>
        <w:gridCol w:w="1216"/>
        <w:gridCol w:w="1157"/>
        <w:gridCol w:w="109"/>
        <w:gridCol w:w="109"/>
        <w:gridCol w:w="109"/>
        <w:gridCol w:w="279"/>
        <w:gridCol w:w="941"/>
        <w:gridCol w:w="155"/>
        <w:gridCol w:w="109"/>
        <w:gridCol w:w="109"/>
        <w:gridCol w:w="109"/>
        <w:gridCol w:w="605"/>
        <w:gridCol w:w="1997"/>
        <w:gridCol w:w="337"/>
        <w:gridCol w:w="109"/>
        <w:gridCol w:w="109"/>
        <w:gridCol w:w="109"/>
        <w:gridCol w:w="222"/>
        <w:gridCol w:w="733"/>
        <w:gridCol w:w="180"/>
      </w:tblGrid>
      <w:tr>
        <w:trPr/>
        <w:tc>
          <w:tcPr>
            <w:tcW w:w="140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HISTORICAL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w:t>
            </w:r>
          </w:p>
        </w:tc>
      </w:tr>
      <w:tr>
        <w:trP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investment hedge to other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58,855 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Company’s historical statement of comprehensive income for the year ended December 31, 2025, which was derived from the Company’s Annual Report on Form 10-K for the year ended December 31, 2025.</w:t>
      </w:r>
    </w:p>
    <w:p>
      <w:pPr>
        <w:pStyle w:val="TextBody"/>
        <w:bidi w:val="0"/>
        <w:spacing w:lineRule="auto" w:line="288" w:before="240" w:after="60"/>
        <w:jc w:val="center"/>
        <w:rPr>
          <w:rFonts w:ascii="Times New Roman;serif" w:hAnsi="Times New Roman;serif"/>
          <w:b/>
          <w:color w:val="000000"/>
          <w:sz w:val="18"/>
        </w:rPr>
      </w:pPr>
      <w:r>
        <w:rPr>
          <w:rFonts w:ascii="Times New Roman;serif" w:hAnsi="Times New Roman;serif"/>
          <w:b/>
          <w:color w:val="000000"/>
          <w:sz w:val="18"/>
        </w:rPr>
        <w:t>The accompanying notes are an integral part of these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BRIGHTSPIRE CAPITAL,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UNAUDITED PRO FORMA CONDENSED CONSOLIDATED FINANCIAL STATEMENTS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Adjustments to Unaudited Pro Forma Consolidated Balance Sheet as of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the removal of assets and liabilities associated with the sale of the Net Lease 1 Investment, as well as, the receipt of cash net proceeds of approximately $97.9 million, following the assumption of the $200.0 million mortgage notes payable. The transaction accounting adjustments are shown below:</w:t>
      </w:r>
    </w:p>
    <w:p>
      <w:pPr>
        <w:pStyle w:val="TextBody"/>
        <w:bidi w:val="0"/>
        <w:spacing w:before="0" w:after="0"/>
        <w:jc w:val="left"/>
        <w:rPr/>
      </w:pPr>
      <w:r>
        <w:rPr/>
      </w:r>
    </w:p>
    <w:p>
      <w:pPr>
        <w:pStyle w:val="TextBody"/>
        <w:bidi w:val="0"/>
        <w:spacing w:before="0" w:after="0"/>
        <w:jc w:val="left"/>
        <w:rPr/>
      </w:pPr>
      <w:r>
        <w:rPr/>
      </w:r>
    </w:p>
    <w:tbl>
      <w:tblPr>
        <w:tblW w:w="6351" w:type="dxa"/>
        <w:jc w:val="center"/>
        <w:tblInd w:w="0" w:type="dxa"/>
        <w:tblLayout w:type="fixed"/>
        <w:tblCellMar>
          <w:top w:w="28" w:type="dxa"/>
          <w:left w:w="28" w:type="dxa"/>
          <w:bottom w:w="28" w:type="dxa"/>
          <w:right w:w="28" w:type="dxa"/>
        </w:tblCellMar>
      </w:tblPr>
      <w:tblGrid>
        <w:gridCol w:w="1865"/>
        <w:gridCol w:w="1645"/>
        <w:gridCol w:w="1650"/>
        <w:gridCol w:w="211"/>
        <w:gridCol w:w="826"/>
        <w:gridCol w:w="154"/>
      </w:tblGrid>
      <w:tr>
        <w:trPr/>
        <w:tc>
          <w:tcPr>
            <w:tcW w:w="186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closing and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working capital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 of mortgage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Real estate, net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Deferred leasing costs and intangible assets, net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Receivables, net (including straight-line rent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Mortgage notes payable (assumed by Purchasers)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Accrued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gain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Included in “Assets held for sale” on the consolidated balance sheet as of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color w:val="000000"/>
          <w:sz w:val="20"/>
        </w:rPr>
      </w:pPr>
      <w:r>
        <w:rPr>
          <w:rFonts w:ascii="Times New Roman;serif" w:hAnsi="Times New Roman;serif"/>
          <w:b/>
          <w:color w:val="000000"/>
          <w:sz w:val="20"/>
        </w:rPr>
        <w:t>2. Adjustments to Unaudited Pro Forma Consolidated Statements of Operations and Unaudited Pro Forma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Represents the removal of the historical revenue and expenses associated with the Net Lease 1 Investment for the six months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Represents the removal of the historical revenue and expenses for the year ended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Represents the approximate pro forma gain on sale of $60.4 million as if the sale of the Net Lease 1 Investment occurred on January 1, 2025.</w:t>
      </w:r>
    </w:p>
    <w:p>
      <w:pPr>
        <w:pStyle w:val="TextBody"/>
        <w:bidi w:val="0"/>
        <w:spacing w:before="0" w:after="0"/>
        <w:ind w:left="0" w:right="0" w:hanging="36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(C) The calculation of diluted earnings per share for the year ended December 31, 2025 includes the effect of weighted average unvested restricted shares of 2,865,399, as the effect would be dilutive.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2716</Words>
  <Characters>15722</Characters>
  <CharactersWithSpaces>18162</CharactersWithSpaces>
  <Paragraphs>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