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13, 2026</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BrightSpire Capital,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36" w:lineRule="exact"/>
        <w:rPr>
          <w:sz w:val="24"/>
          <w:szCs w:val="24"/>
          <w:color w:val="auto"/>
        </w:rPr>
      </w:pPr>
    </w:p>
    <w:tbl>
      <w:tblPr>
        <w:tblLayout w:type="fixed"/>
        <w:tblInd w:w="820" w:type="dxa"/>
        <w:tblCellMar>
          <w:top w:w="0" w:type="dxa"/>
          <w:left w:w="0" w:type="dxa"/>
          <w:bottom w:w="0" w:type="dxa"/>
          <w:right w:w="0" w:type="dxa"/>
        </w:tblCellMar>
      </w:tblPr>
      <w:tr>
        <w:trPr>
          <w:trHeight w:val="233"/>
        </w:trPr>
        <w:tc>
          <w:tcPr>
            <w:tcW w:w="2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5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001-38377</w:t>
            </w:r>
          </w:p>
        </w:tc>
        <w:tc>
          <w:tcPr>
            <w:tcW w:w="168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38-4046290</w:t>
            </w:r>
          </w:p>
        </w:tc>
      </w:tr>
      <w:tr>
        <w:trPr>
          <w:trHeight w:val="230"/>
        </w:trPr>
        <w:tc>
          <w:tcPr>
            <w:tcW w:w="21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5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(Commission</w:t>
            </w:r>
          </w:p>
        </w:tc>
        <w:tc>
          <w:tcPr>
            <w:tcW w:w="16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21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5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File Number)</w:t>
            </w:r>
          </w:p>
        </w:tc>
        <w:tc>
          <w:tcPr>
            <w:tcW w:w="16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04"/>
        </w:trPr>
        <w:tc>
          <w:tcPr>
            <w:tcW w:w="2120" w:type="dxa"/>
            <w:vAlign w:val="bottom"/>
          </w:tcPr>
          <w:p>
            <w:pPr>
              <w:spacing w:after="0"/>
              <w:rPr>
                <w:sz w:val="24"/>
                <w:szCs w:val="24"/>
                <w:color w:val="auto"/>
              </w:rPr>
            </w:pPr>
          </w:p>
        </w:tc>
        <w:tc>
          <w:tcPr>
            <w:tcW w:w="5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590 Madison Avenue, 33rd Floor</w:t>
            </w:r>
          </w:p>
        </w:tc>
        <w:tc>
          <w:tcPr>
            <w:tcW w:w="1680" w:type="dxa"/>
            <w:vAlign w:val="bottom"/>
          </w:tcPr>
          <w:p>
            <w:pPr>
              <w:spacing w:after="0"/>
              <w:rPr>
                <w:sz w:val="24"/>
                <w:szCs w:val="24"/>
                <w:color w:val="auto"/>
              </w:rPr>
            </w:pPr>
          </w:p>
        </w:tc>
      </w:tr>
      <w:tr>
        <w:trPr>
          <w:trHeight w:val="220"/>
        </w:trPr>
        <w:tc>
          <w:tcPr>
            <w:tcW w:w="2120" w:type="dxa"/>
            <w:vAlign w:val="bottom"/>
          </w:tcPr>
          <w:p>
            <w:pPr>
              <w:spacing w:after="0"/>
              <w:rPr>
                <w:sz w:val="19"/>
                <w:szCs w:val="19"/>
                <w:color w:val="auto"/>
              </w:rPr>
            </w:pPr>
          </w:p>
        </w:tc>
        <w:tc>
          <w:tcPr>
            <w:tcW w:w="5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New York, NY 10022</w:t>
            </w:r>
          </w:p>
        </w:tc>
        <w:tc>
          <w:tcPr>
            <w:tcW w:w="1680" w:type="dxa"/>
            <w:vAlign w:val="bottom"/>
          </w:tcPr>
          <w:p>
            <w:pPr>
              <w:spacing w:after="0"/>
              <w:rPr>
                <w:sz w:val="19"/>
                <w:szCs w:val="19"/>
                <w:color w:val="auto"/>
              </w:rPr>
            </w:pPr>
          </w:p>
        </w:tc>
      </w:tr>
      <w:tr>
        <w:trPr>
          <w:trHeight w:val="234"/>
        </w:trPr>
        <w:tc>
          <w:tcPr>
            <w:tcW w:w="2120" w:type="dxa"/>
            <w:vAlign w:val="bottom"/>
          </w:tcPr>
          <w:p>
            <w:pPr>
              <w:spacing w:after="0"/>
              <w:rPr>
                <w:sz w:val="20"/>
                <w:szCs w:val="20"/>
                <w:color w:val="auto"/>
              </w:rPr>
            </w:pPr>
          </w:p>
        </w:tc>
        <w:tc>
          <w:tcPr>
            <w:tcW w:w="5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1680" w:type="dxa"/>
            <w:vAlign w:val="bottom"/>
          </w:tcPr>
          <w:p>
            <w:pPr>
              <w:spacing w:after="0"/>
              <w:rPr>
                <w:sz w:val="20"/>
                <w:szCs w:val="20"/>
                <w:color w:val="auto"/>
              </w:rPr>
            </w:pPr>
          </w:p>
        </w:tc>
      </w:tr>
      <w:tr>
        <w:trPr>
          <w:trHeight w:val="459"/>
        </w:trPr>
        <w:tc>
          <w:tcPr>
            <w:tcW w:w="2120" w:type="dxa"/>
            <w:vAlign w:val="bottom"/>
          </w:tcPr>
          <w:p>
            <w:pPr>
              <w:spacing w:after="0"/>
              <w:rPr>
                <w:sz w:val="24"/>
                <w:szCs w:val="24"/>
                <w:color w:val="auto"/>
              </w:rPr>
            </w:pPr>
          </w:p>
        </w:tc>
        <w:tc>
          <w:tcPr>
            <w:tcW w:w="5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(212) 547-2631</w:t>
            </w:r>
          </w:p>
        </w:tc>
        <w:tc>
          <w:tcPr>
            <w:tcW w:w="1680" w:type="dxa"/>
            <w:vAlign w:val="bottom"/>
          </w:tcPr>
          <w:p>
            <w:pPr>
              <w:spacing w:after="0"/>
              <w:rPr>
                <w:sz w:val="24"/>
                <w:szCs w:val="24"/>
                <w:color w:val="auto"/>
              </w:rPr>
            </w:pPr>
          </w:p>
        </w:tc>
      </w:tr>
      <w:tr>
        <w:trPr>
          <w:trHeight w:val="441"/>
        </w:trPr>
        <w:tc>
          <w:tcPr>
            <w:tcW w:w="2120" w:type="dxa"/>
            <w:vAlign w:val="bottom"/>
          </w:tcPr>
          <w:p>
            <w:pPr>
              <w:spacing w:after="0"/>
              <w:rPr>
                <w:sz w:val="24"/>
                <w:szCs w:val="24"/>
                <w:color w:val="auto"/>
              </w:rPr>
            </w:pPr>
          </w:p>
        </w:tc>
        <w:tc>
          <w:tcPr>
            <w:tcW w:w="5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80" w:type="dxa"/>
            <w:vAlign w:val="bottom"/>
          </w:tcPr>
          <w:p>
            <w:pPr>
              <w:spacing w:after="0"/>
              <w:rPr>
                <w:sz w:val="24"/>
                <w:szCs w:val="24"/>
                <w:color w:val="auto"/>
              </w:rPr>
            </w:pPr>
          </w:p>
        </w:tc>
      </w:tr>
      <w:tr>
        <w:trPr>
          <w:trHeight w:val="234"/>
        </w:trPr>
        <w:tc>
          <w:tcPr>
            <w:tcW w:w="2120" w:type="dxa"/>
            <w:vAlign w:val="bottom"/>
          </w:tcPr>
          <w:p>
            <w:pPr>
              <w:spacing w:after="0"/>
              <w:rPr>
                <w:sz w:val="20"/>
                <w:szCs w:val="20"/>
                <w:color w:val="auto"/>
              </w:rPr>
            </w:pPr>
          </w:p>
        </w:tc>
        <w:tc>
          <w:tcPr>
            <w:tcW w:w="55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68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l4a-12 under the Exchange Act (17 CFR 240.14a-12)</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9"/>
        </w:trPr>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Class A common stock, par value $0.01 per share</w:t>
            </w:r>
          </w:p>
        </w:tc>
        <w:tc>
          <w:tcPr>
            <w:tcW w:w="100" w:type="dxa"/>
            <w:vAlign w:val="bottom"/>
          </w:tcPr>
          <w:p>
            <w:pPr>
              <w:spacing w:after="0"/>
              <w:rPr>
                <w:sz w:val="18"/>
                <w:szCs w:val="18"/>
                <w:color w:val="auto"/>
              </w:rPr>
            </w:pPr>
          </w:p>
        </w:tc>
        <w:tc>
          <w:tcPr>
            <w:tcW w:w="2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BRSP</w:t>
            </w:r>
          </w:p>
        </w:tc>
        <w:tc>
          <w:tcPr>
            <w:tcW w:w="100" w:type="dxa"/>
            <w:vAlign w:val="bottom"/>
          </w:tcPr>
          <w:p>
            <w:pPr>
              <w:spacing w:after="0"/>
              <w:rPr>
                <w:sz w:val="18"/>
                <w:szCs w:val="18"/>
                <w:color w:val="auto"/>
              </w:rPr>
            </w:pPr>
          </w:p>
        </w:tc>
        <w:tc>
          <w:tcPr>
            <w:tcW w:w="4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bl>
    <w:p>
      <w:pPr>
        <w:spacing w:after="0" w:line="282"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629920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ind w:right="120"/>
        <w:spacing w:after="0" w:line="287" w:lineRule="auto"/>
        <w:rPr>
          <w:sz w:val="20"/>
          <w:szCs w:val="20"/>
          <w:color w:val="auto"/>
        </w:rPr>
      </w:pPr>
      <w:r>
        <w:rPr>
          <w:rFonts w:ascii="Times New Roman" w:cs="Times New Roman" w:eastAsia="Times New Roman" w:hAnsi="Times New Roman"/>
          <w:sz w:val="20"/>
          <w:szCs w:val="20"/>
          <w:b w:val="1"/>
          <w:bCs w:val="1"/>
          <w:color w:val="auto"/>
        </w:rPr>
        <w:t>Item 5.02. Departure of Directors or Certain Officers; Election of Directors; Appointment of Certain Officers; Compensatory Arrangements of Certain Officers.</w:t>
      </w:r>
    </w:p>
    <w:p>
      <w:pPr>
        <w:spacing w:after="0" w:line="7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13, 2026, BrightSpire Capital, Inc. (the “Company”) held its 2026 annual meeting of stockholders (the “Annual Meeting”), at which the Company’s stockholders approved a second amendment to the BrightSpire Capital, Inc. 2022 Equity Incentive Plan, as heretofore amended (the “2022 Equity Incentive Plan” and such second amendment, the “2022 Plan Amendment”) to increase the total number of shares of Class A common stock of the Company available for issuance under the 2022 Equity Incentive Plan by 10,000,000 shares and to clarify and provide a cash-denominated limit on awards to non-employee directors in any calendar year. A description of the material terms of the 2022 Plan Amendment set forth in Proposal 4 contained in the Company’s Definitive Proxy Statement for the Annual Meeting filed with the Securities and Exchange Commission on April 1, 2026 (the “Proxy Statement”). The Company’s Board of Directors (the “Board”), upon recommendation of the Compensation Committee of the Board, previously approved the 2022 Plan Amendment, subject to such stockholder approval.</w:t>
      </w:r>
    </w:p>
    <w:p>
      <w:pPr>
        <w:spacing w:after="0" w:line="12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certain terms of the 2022 Plan Amendment does not purport to be complete and is qualified in its entirety by reference to the full text of the 2022 Plan Amendment, which is filed as Exhibit 10.1 to the Company's Current Report on Form 8-K on May 13, 2026.</w:t>
      </w:r>
    </w:p>
    <w:p>
      <w:pPr>
        <w:spacing w:after="0" w:line="72"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5.07.</w:t>
      </w:r>
      <w:r>
        <w:rPr>
          <w:sz w:val="20"/>
          <w:szCs w:val="20"/>
          <w:color w:val="auto"/>
        </w:rPr>
        <w:tab/>
      </w:r>
      <w:r>
        <w:rPr>
          <w:rFonts w:ascii="Times New Roman" w:cs="Times New Roman" w:eastAsia="Times New Roman" w:hAnsi="Times New Roman"/>
          <w:sz w:val="19"/>
          <w:szCs w:val="19"/>
          <w:b w:val="1"/>
          <w:bCs w:val="1"/>
          <w:color w:val="auto"/>
        </w:rPr>
        <w:t>Submission of Matters to a Vote of Security Holders.</w:t>
      </w:r>
    </w:p>
    <w:p>
      <w:pPr>
        <w:spacing w:after="0" w:line="15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Annual Meeting, the Company’s stockholders: (i) elected the five persons listed below as directors of the Company, each to serve until the Company’s 2027 annual meeting of stockholders and until his or her successor is duly elected and qualified; (ii) approved in an advisory vote the compensation paid to the Company’s named executive officers as of December 31, 2025; (iii) ratified the appointment of Deloitte &amp; Touche LLP as the Company’s independent registered public accounting firm for the fiscal year ending December 31, 2026; and (iv) approved a second amendment to the 2022 Equity Incentive Plan, including to authorize the issuance of 10,000,000 additional shares of common stock as eligible securities to grant in accordance with the plan, as amended.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Set forth below are the voting results for each of the proposals voted upon by the Company’s stockholders at the Annual Meeting:</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1 — Election of Directors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persons comprising the entire board of directors of the Company were duly elected as directors of the Company until the 2027 Annual Meeting of Stockholders and until his or her successor is duly elected and qualified, by the following vote:</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Nominee</w:t>
            </w:r>
          </w:p>
        </w:tc>
        <w:tc>
          <w:tcPr>
            <w:tcW w:w="19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w:t>
            </w:r>
          </w:p>
        </w:tc>
        <w:tc>
          <w:tcPr>
            <w:tcW w:w="172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Withheld</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2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37"/>
        </w:trPr>
        <w:tc>
          <w:tcPr>
            <w:tcW w:w="3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r>
      <w:tr>
        <w:trPr>
          <w:trHeight w:val="244"/>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Catherine D. Rice</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69,647,368</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2,539,050</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196,994</w:t>
            </w:r>
          </w:p>
        </w:tc>
        <w:tc>
          <w:tcPr>
            <w:tcW w:w="8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27,416,261</w:t>
            </w:r>
          </w:p>
        </w:tc>
      </w:tr>
      <w:tr>
        <w:trPr>
          <w:trHeight w:val="24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Kim S. Diamond</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71,129,995</w:t>
            </w:r>
          </w:p>
        </w:tc>
        <w:tc>
          <w:tcPr>
            <w:tcW w:w="10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1,063,966</w:t>
            </w:r>
          </w:p>
        </w:tc>
        <w:tc>
          <w:tcPr>
            <w:tcW w:w="10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189,451</w:t>
            </w:r>
          </w:p>
        </w:tc>
        <w:tc>
          <w:tcPr>
            <w:tcW w:w="80" w:type="dxa"/>
            <w:vAlign w:val="bottom"/>
          </w:tcPr>
          <w:p>
            <w:pPr>
              <w:spacing w:after="0"/>
              <w:rPr>
                <w:sz w:val="21"/>
                <w:szCs w:val="21"/>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27,416,261</w:t>
            </w:r>
          </w:p>
        </w:tc>
      </w:tr>
      <w:tr>
        <w:trPr>
          <w:trHeight w:val="27"/>
        </w:trPr>
        <w:tc>
          <w:tcPr>
            <w:tcW w:w="3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33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Catherine Long</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69,672,485</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2,511,208</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199,719</w:t>
            </w:r>
          </w:p>
        </w:tc>
        <w:tc>
          <w:tcPr>
            <w:tcW w:w="8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27,416,261</w:t>
            </w:r>
          </w:p>
        </w:tc>
      </w:tr>
      <w:tr>
        <w:trPr>
          <w:trHeight w:val="243"/>
        </w:trPr>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Vernon B. Schwartz</w:t>
            </w: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71,606,343</w:t>
            </w:r>
          </w:p>
        </w:tc>
        <w:tc>
          <w:tcPr>
            <w:tcW w:w="10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595,533</w:t>
            </w:r>
          </w:p>
        </w:tc>
        <w:tc>
          <w:tcPr>
            <w:tcW w:w="10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181,536</w:t>
            </w:r>
          </w:p>
        </w:tc>
        <w:tc>
          <w:tcPr>
            <w:tcW w:w="80" w:type="dxa"/>
            <w:vAlign w:val="bottom"/>
          </w:tcPr>
          <w:p>
            <w:pPr>
              <w:spacing w:after="0"/>
              <w:rPr>
                <w:sz w:val="21"/>
                <w:szCs w:val="21"/>
                <w:color w:val="auto"/>
              </w:rPr>
            </w:pPr>
          </w:p>
        </w:tc>
        <w:tc>
          <w:tcPr>
            <w:tcW w:w="24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27,416,261</w:t>
            </w:r>
          </w:p>
        </w:tc>
      </w:tr>
      <w:tr>
        <w:trPr>
          <w:trHeight w:val="27"/>
        </w:trPr>
        <w:tc>
          <w:tcPr>
            <w:tcW w:w="3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43"/>
        </w:trPr>
        <w:tc>
          <w:tcPr>
            <w:tcW w:w="3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Michael J. Mazzei</w:t>
            </w:r>
          </w:p>
        </w:tc>
        <w:tc>
          <w:tcPr>
            <w:tcW w:w="18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71,813,777</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387,361</w:t>
            </w:r>
          </w:p>
        </w:tc>
        <w:tc>
          <w:tcPr>
            <w:tcW w:w="100" w:type="dxa"/>
            <w:vAlign w:val="bottom"/>
            <w:shd w:val="clear" w:color="auto" w:fill="CCEEFF"/>
          </w:tcPr>
          <w:p>
            <w:pPr>
              <w:spacing w:after="0"/>
              <w:rPr>
                <w:sz w:val="21"/>
                <w:szCs w:val="21"/>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182,274</w:t>
            </w:r>
          </w:p>
        </w:tc>
        <w:tc>
          <w:tcPr>
            <w:tcW w:w="80" w:type="dxa"/>
            <w:vAlign w:val="bottom"/>
            <w:shd w:val="clear" w:color="auto" w:fill="CCEEFF"/>
          </w:tcPr>
          <w:p>
            <w:pPr>
              <w:spacing w:after="0"/>
              <w:rPr>
                <w:sz w:val="21"/>
                <w:szCs w:val="21"/>
                <w:color w:val="auto"/>
              </w:rPr>
            </w:pPr>
          </w:p>
        </w:tc>
        <w:tc>
          <w:tcPr>
            <w:tcW w:w="2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27,416,261</w:t>
            </w:r>
          </w:p>
        </w:tc>
      </w:tr>
      <w:tr>
        <w:trPr>
          <w:trHeight w:val="27"/>
        </w:trPr>
        <w:tc>
          <w:tcPr>
            <w:tcW w:w="3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4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2 — Approval (on an advisory, non-binding basis) of Executive Compensation</w:t>
      </w:r>
    </w:p>
    <w:p>
      <w:pPr>
        <w:spacing w:after="0" w:line="16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Company’s stockholders approved (on an advisory, non-binding basis) the compensation of the Company’s named executive officers as of December 31, 2025 as described in the Compensation Discussion and Analysis and executive compensation tables of the Proxy Statement. The table below sets forth the voting results for this proposal:</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5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37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37"/>
        </w:trPr>
        <w:tc>
          <w:tcPr>
            <w:tcW w:w="284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r>
      <w:tr>
        <w:trPr>
          <w:trHeight w:val="243"/>
        </w:trPr>
        <w:tc>
          <w:tcPr>
            <w:tcW w:w="2840" w:type="dxa"/>
            <w:vAlign w:val="bottom"/>
            <w:tcBorders>
              <w:bottom w:val="single" w:sz="8" w:color="CCEEFF"/>
            </w:tcBorders>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70,586,111</w:t>
            </w:r>
          </w:p>
        </w:tc>
        <w:tc>
          <w:tcPr>
            <w:tcW w:w="16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1,074,080</w:t>
            </w:r>
          </w:p>
        </w:tc>
        <w:tc>
          <w:tcPr>
            <w:tcW w:w="16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723,221</w:t>
            </w:r>
          </w:p>
        </w:tc>
        <w:tc>
          <w:tcPr>
            <w:tcW w:w="160" w:type="dxa"/>
            <w:vAlign w:val="bottom"/>
            <w:tcBorders>
              <w:bottom w:val="single" w:sz="8" w:color="CCEEFF"/>
            </w:tcBorders>
            <w:shd w:val="clear" w:color="auto" w:fill="CCEEFF"/>
          </w:tcPr>
          <w:p>
            <w:pPr>
              <w:spacing w:after="0"/>
              <w:rPr>
                <w:sz w:val="21"/>
                <w:szCs w:val="21"/>
                <w:color w:val="auto"/>
              </w:rPr>
            </w:pPr>
          </w:p>
        </w:tc>
        <w:tc>
          <w:tcPr>
            <w:tcW w:w="3560" w:type="dxa"/>
            <w:vAlign w:val="bottom"/>
            <w:tcBorders>
              <w:bottom w:val="single" w:sz="8" w:color="CCEEFF"/>
            </w:tcBorders>
            <w:shd w:val="clear" w:color="auto" w:fill="CCEEFF"/>
          </w:tcPr>
          <w:p>
            <w:pPr>
              <w:jc w:val="right"/>
              <w:ind w:right="1299"/>
              <w:spacing w:after="0"/>
              <w:rPr>
                <w:sz w:val="20"/>
                <w:szCs w:val="20"/>
                <w:color w:val="auto"/>
              </w:rPr>
            </w:pPr>
            <w:r>
              <w:rPr>
                <w:rFonts w:ascii="Times New Roman" w:cs="Times New Roman" w:eastAsia="Times New Roman" w:hAnsi="Times New Roman"/>
                <w:sz w:val="18"/>
                <w:szCs w:val="18"/>
                <w:color w:val="auto"/>
              </w:rPr>
              <w:t>27,416,261</w:t>
            </w:r>
          </w:p>
        </w:tc>
        <w:tc>
          <w:tcPr>
            <w:tcW w:w="140" w:type="dxa"/>
            <w:vAlign w:val="bottom"/>
          </w:tcPr>
          <w:p>
            <w:pPr>
              <w:spacing w:after="0"/>
              <w:rPr>
                <w:sz w:val="21"/>
                <w:szCs w:val="21"/>
                <w:color w:val="auto"/>
              </w:rPr>
            </w:pPr>
          </w:p>
        </w:tc>
      </w:tr>
      <w:tr>
        <w:trPr>
          <w:trHeight w:val="1654"/>
        </w:trPr>
        <w:tc>
          <w:tcPr>
            <w:tcW w:w="28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i w:val="1"/>
          <w:iCs w:val="1"/>
          <w:color w:val="auto"/>
        </w:rPr>
        <w:t>Proposal 3 — Ratification of Appointment of Independent Registered Public Accounting Firm</w:t>
      </w:r>
    </w:p>
    <w:p>
      <w:pPr>
        <w:spacing w:after="0" w:line="14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Deloitte &amp; Touche LLP as the Company’s independent registered public accounting firm for the fiscal year ending December 31, 2026, by the following vote:</w:t>
      </w:r>
    </w:p>
    <w:p>
      <w:pPr>
        <w:spacing w:after="0" w:line="142" w:lineRule="exact"/>
        <w:rPr>
          <w:sz w:val="20"/>
          <w:szCs w:val="20"/>
          <w:color w:val="auto"/>
        </w:rPr>
      </w:pPr>
    </w:p>
    <w:tbl>
      <w:tblPr>
        <w:tblLayout w:type="fixed"/>
        <w:tblInd w:w="1940" w:type="dxa"/>
        <w:tblCellMar>
          <w:top w:w="0" w:type="dxa"/>
          <w:left w:w="0" w:type="dxa"/>
          <w:bottom w:w="0" w:type="dxa"/>
          <w:right w:w="0" w:type="dxa"/>
        </w:tblCellMar>
      </w:tblPr>
      <w:tr>
        <w:trPr>
          <w:trHeight w:val="190"/>
        </w:trPr>
        <w:tc>
          <w:tcPr>
            <w:tcW w:w="3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For</w:t>
            </w:r>
          </w:p>
        </w:tc>
        <w:tc>
          <w:tcPr>
            <w:tcW w:w="2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Abstentions</w:t>
            </w:r>
          </w:p>
        </w:tc>
      </w:tr>
      <w:tr>
        <w:trPr>
          <w:trHeight w:val="37"/>
        </w:trPr>
        <w:tc>
          <w:tcPr>
            <w:tcW w:w="284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r>
      <w:tr>
        <w:trPr>
          <w:trHeight w:val="237"/>
        </w:trPr>
        <w:tc>
          <w:tcPr>
            <w:tcW w:w="2840" w:type="dxa"/>
            <w:vAlign w:val="bottom"/>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99,105,085</w:t>
            </w:r>
          </w:p>
        </w:tc>
        <w:tc>
          <w:tcPr>
            <w:tcW w:w="160" w:type="dxa"/>
            <w:vAlign w:val="bottom"/>
            <w:shd w:val="clear" w:color="auto" w:fill="CCEEFF"/>
          </w:tcPr>
          <w:p>
            <w:pPr>
              <w:spacing w:after="0"/>
              <w:rPr>
                <w:sz w:val="20"/>
                <w:szCs w:val="20"/>
                <w:color w:val="auto"/>
              </w:rPr>
            </w:pPr>
          </w:p>
        </w:tc>
        <w:tc>
          <w:tcPr>
            <w:tcW w:w="1880" w:type="dxa"/>
            <w:vAlign w:val="bottom"/>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262,229</w:t>
            </w:r>
          </w:p>
        </w:tc>
        <w:tc>
          <w:tcPr>
            <w:tcW w:w="160" w:type="dxa"/>
            <w:vAlign w:val="bottom"/>
            <w:shd w:val="clear" w:color="auto" w:fill="CCEEFF"/>
          </w:tcPr>
          <w:p>
            <w:pPr>
              <w:spacing w:after="0"/>
              <w:rPr>
                <w:sz w:val="20"/>
                <w:szCs w:val="20"/>
                <w:color w:val="auto"/>
              </w:rPr>
            </w:pPr>
          </w:p>
        </w:tc>
        <w:tc>
          <w:tcPr>
            <w:tcW w:w="234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432,359</w:t>
            </w:r>
          </w:p>
        </w:tc>
      </w:tr>
      <w:tr>
        <w:trPr>
          <w:trHeight w:val="27"/>
        </w:trPr>
        <w:tc>
          <w:tcPr>
            <w:tcW w:w="28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4 — Approval of a Second Amendment to the BrightSpire Capital, Inc. 2022 Equity Incentive Plan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the second amendment to the 2022 Equity Incentive Plan by the following vote:</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For</w:t>
            </w:r>
          </w:p>
        </w:tc>
        <w:tc>
          <w:tcPr>
            <w:tcW w:w="2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Against</w:t>
            </w:r>
          </w:p>
        </w:tc>
        <w:tc>
          <w:tcPr>
            <w:tcW w:w="25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Abstentions</w:t>
            </w:r>
          </w:p>
        </w:tc>
        <w:tc>
          <w:tcPr>
            <w:tcW w:w="35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Broker Non-Votes</w:t>
            </w:r>
          </w:p>
        </w:tc>
      </w:tr>
      <w:tr>
        <w:trPr>
          <w:trHeight w:val="37"/>
        </w:trPr>
        <w:tc>
          <w:tcPr>
            <w:tcW w:w="284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188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2340" w:type="dxa"/>
            <w:vAlign w:val="bottom"/>
            <w:tcBorders>
              <w:bottom w:val="single" w:sz="8" w:color="auto"/>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3560" w:type="dxa"/>
            <w:vAlign w:val="bottom"/>
            <w:tcBorders>
              <w:bottom w:val="single" w:sz="8" w:color="auto"/>
            </w:tcBorders>
          </w:tcPr>
          <w:p>
            <w:pPr>
              <w:spacing w:after="0"/>
              <w:rPr>
                <w:sz w:val="3"/>
                <w:szCs w:val="3"/>
                <w:color w:val="auto"/>
              </w:rPr>
            </w:pPr>
          </w:p>
        </w:tc>
      </w:tr>
      <w:tr>
        <w:trPr>
          <w:trHeight w:val="237"/>
        </w:trPr>
        <w:tc>
          <w:tcPr>
            <w:tcW w:w="2840" w:type="dxa"/>
            <w:vAlign w:val="bottom"/>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69,904,109</w:t>
            </w:r>
          </w:p>
        </w:tc>
        <w:tc>
          <w:tcPr>
            <w:tcW w:w="160" w:type="dxa"/>
            <w:vAlign w:val="bottom"/>
            <w:shd w:val="clear" w:color="auto" w:fill="CCEEFF"/>
          </w:tcPr>
          <w:p>
            <w:pPr>
              <w:spacing w:after="0"/>
              <w:rPr>
                <w:sz w:val="20"/>
                <w:szCs w:val="20"/>
                <w:color w:val="auto"/>
              </w:rPr>
            </w:pPr>
          </w:p>
        </w:tc>
        <w:tc>
          <w:tcPr>
            <w:tcW w:w="188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1,994,996</w:t>
            </w:r>
          </w:p>
        </w:tc>
        <w:tc>
          <w:tcPr>
            <w:tcW w:w="160" w:type="dxa"/>
            <w:vAlign w:val="bottom"/>
            <w:shd w:val="clear" w:color="auto" w:fill="CCEEFF"/>
          </w:tcPr>
          <w:p>
            <w:pPr>
              <w:spacing w:after="0"/>
              <w:rPr>
                <w:sz w:val="20"/>
                <w:szCs w:val="20"/>
                <w:color w:val="auto"/>
              </w:rPr>
            </w:pPr>
          </w:p>
        </w:tc>
        <w:tc>
          <w:tcPr>
            <w:tcW w:w="2340" w:type="dxa"/>
            <w:vAlign w:val="bottom"/>
            <w:shd w:val="clear" w:color="auto" w:fill="CCEEFF"/>
          </w:tcPr>
          <w:p>
            <w:pPr>
              <w:jc w:val="right"/>
              <w:ind w:right="799"/>
              <w:spacing w:after="0"/>
              <w:rPr>
                <w:sz w:val="20"/>
                <w:szCs w:val="20"/>
                <w:color w:val="auto"/>
              </w:rPr>
            </w:pPr>
            <w:r>
              <w:rPr>
                <w:rFonts w:ascii="Times New Roman" w:cs="Times New Roman" w:eastAsia="Times New Roman" w:hAnsi="Times New Roman"/>
                <w:sz w:val="18"/>
                <w:szCs w:val="18"/>
                <w:color w:val="auto"/>
              </w:rPr>
              <w:t>484,307</w:t>
            </w:r>
          </w:p>
        </w:tc>
        <w:tc>
          <w:tcPr>
            <w:tcW w:w="160" w:type="dxa"/>
            <w:vAlign w:val="bottom"/>
            <w:shd w:val="clear" w:color="auto" w:fill="CCEEFF"/>
          </w:tcPr>
          <w:p>
            <w:pPr>
              <w:spacing w:after="0"/>
              <w:rPr>
                <w:sz w:val="20"/>
                <w:szCs w:val="20"/>
                <w:color w:val="auto"/>
              </w:rPr>
            </w:pPr>
          </w:p>
        </w:tc>
        <w:tc>
          <w:tcPr>
            <w:tcW w:w="3560" w:type="dxa"/>
            <w:vAlign w:val="bottom"/>
            <w:shd w:val="clear" w:color="auto" w:fill="CCEEFF"/>
          </w:tcPr>
          <w:p>
            <w:pPr>
              <w:jc w:val="right"/>
              <w:ind w:right="1299"/>
              <w:spacing w:after="0"/>
              <w:rPr>
                <w:sz w:val="20"/>
                <w:szCs w:val="20"/>
                <w:color w:val="auto"/>
              </w:rPr>
            </w:pPr>
            <w:r>
              <w:rPr>
                <w:rFonts w:ascii="Times New Roman" w:cs="Times New Roman" w:eastAsia="Times New Roman" w:hAnsi="Times New Roman"/>
                <w:sz w:val="18"/>
                <w:szCs w:val="18"/>
                <w:color w:val="auto"/>
              </w:rPr>
              <w:t>27,416,261</w:t>
            </w:r>
          </w:p>
        </w:tc>
      </w:tr>
      <w:tr>
        <w:trPr>
          <w:trHeight w:val="27"/>
        </w:trPr>
        <w:tc>
          <w:tcPr>
            <w:tcW w:w="28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356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59"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9.01.</w:t>
      </w:r>
      <w:r>
        <w:rPr>
          <w:sz w:val="20"/>
          <w:szCs w:val="20"/>
          <w:color w:val="auto"/>
        </w:rPr>
        <w:tab/>
      </w:r>
      <w:r>
        <w:rPr>
          <w:rFonts w:ascii="Times New Roman" w:cs="Times New Roman" w:eastAsia="Times New Roman" w:hAnsi="Times New Roman"/>
          <w:sz w:val="19"/>
          <w:szCs w:val="19"/>
          <w:b w:val="1"/>
          <w:bCs w:val="1"/>
          <w:color w:val="auto"/>
        </w:rPr>
        <w:t>Financial Statements and Exhibits.</w:t>
      </w:r>
    </w:p>
    <w:p>
      <w:pPr>
        <w:spacing w:after="0" w:line="330" w:lineRule="exact"/>
        <w:rPr>
          <w:sz w:val="20"/>
          <w:szCs w:val="20"/>
          <w:color w:val="auto"/>
        </w:rPr>
      </w:pPr>
    </w:p>
    <w:p>
      <w:pPr>
        <w:ind w:left="700" w:hanging="256"/>
        <w:spacing w:after="0"/>
        <w:tabs>
          <w:tab w:leader="none" w:pos="70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Exhibits. </w:t>
      </w:r>
      <w:r>
        <w:rPr>
          <w:rFonts w:ascii="Times New Roman" w:cs="Times New Roman" w:eastAsia="Times New Roman" w:hAnsi="Times New Roman"/>
          <w:sz w:val="18"/>
          <w:szCs w:val="18"/>
          <w:color w:val="auto"/>
        </w:rPr>
        <w:t>The following exhibits are being furnished herewith to this Current Report on Form 8-K.</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00" w:type="dxa"/>
            <w:vAlign w:val="bottom"/>
            <w:gridSpan w:val="2"/>
          </w:tcPr>
          <w:p>
            <w:pPr>
              <w:ind w:left="84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0"/>
                <w:szCs w:val="20"/>
                <w:color w:val="auto"/>
              </w:rPr>
            </w:pPr>
          </w:p>
        </w:tc>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54"/>
        </w:trPr>
        <w:tc>
          <w:tcPr>
            <w:tcW w:w="2540" w:type="dxa"/>
            <w:vAlign w:val="bottom"/>
            <w:tcBorders>
              <w:bottom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78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r>
      <w:tr>
        <w:trPr>
          <w:trHeight w:val="209"/>
        </w:trPr>
        <w:tc>
          <w:tcPr>
            <w:tcW w:w="2540" w:type="dxa"/>
            <w:vAlign w:val="bottom"/>
          </w:tcPr>
          <w:p>
            <w:pPr>
              <w:jc w:val="right"/>
              <w:ind w:right="2110"/>
              <w:spacing w:after="0"/>
              <w:rPr>
                <w:sz w:val="20"/>
                <w:szCs w:val="20"/>
                <w:color w:val="auto"/>
              </w:rPr>
            </w:pPr>
            <w:r>
              <w:rPr>
                <w:rFonts w:ascii="Times New Roman" w:cs="Times New Roman" w:eastAsia="Times New Roman" w:hAnsi="Times New Roman"/>
                <w:sz w:val="18"/>
                <w:szCs w:val="18"/>
                <w:color w:val="auto"/>
              </w:rPr>
              <w:t>10.1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5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Second Amendment to the BrightSpire Capital, Inc. 2022 Equity Incentive Plan, effective as of May 13, 2026</w:t>
            </w:r>
          </w:p>
        </w:tc>
      </w:tr>
      <w:tr>
        <w:trPr>
          <w:trHeight w:val="318"/>
        </w:trPr>
        <w:tc>
          <w:tcPr>
            <w:tcW w:w="2540" w:type="dxa"/>
            <w:vAlign w:val="bottom"/>
          </w:tcPr>
          <w:p>
            <w:pPr>
              <w:jc w:val="right"/>
              <w:ind w:right="2130"/>
              <w:spacing w:after="0"/>
              <w:rPr>
                <w:sz w:val="20"/>
                <w:szCs w:val="20"/>
                <w:color w:val="auto"/>
              </w:rPr>
            </w:pPr>
            <w:r>
              <w:rPr>
                <w:rFonts w:ascii="Times New Roman" w:cs="Times New Roman" w:eastAsia="Times New Roman" w:hAnsi="Times New Roman"/>
                <w:sz w:val="18"/>
                <w:szCs w:val="18"/>
                <w:color w:val="auto"/>
              </w:rPr>
              <w:t>104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640" w:type="dxa"/>
            <w:vAlign w:val="bottom"/>
          </w:tcPr>
          <w:p>
            <w:pPr>
              <w:spacing w:after="0"/>
              <w:rPr>
                <w:sz w:val="24"/>
                <w:szCs w:val="24"/>
                <w:color w:val="auto"/>
              </w:rPr>
            </w:pPr>
          </w:p>
        </w:tc>
      </w:tr>
      <w:tr>
        <w:trPr>
          <w:trHeight w:val="1276"/>
        </w:trPr>
        <w:tc>
          <w:tcPr>
            <w:tcW w:w="25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7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309"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May 13, 2026</w:t>
            </w:r>
          </w:p>
        </w:tc>
        <w:tc>
          <w:tcPr>
            <w:tcW w:w="760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BRIGHTSPIRE CAPITAL, INC.</w:t>
            </w:r>
          </w:p>
        </w:tc>
      </w:tr>
      <w:tr>
        <w:trPr>
          <w:trHeight w:val="499"/>
        </w:trPr>
        <w:tc>
          <w:tcPr>
            <w:tcW w:w="3340" w:type="dxa"/>
            <w:vAlign w:val="bottom"/>
          </w:tcPr>
          <w:p>
            <w:pPr>
              <w:spacing w:after="0"/>
              <w:rPr>
                <w:sz w:val="24"/>
                <w:szCs w:val="24"/>
                <w:color w:val="auto"/>
              </w:rPr>
            </w:pPr>
          </w:p>
        </w:tc>
        <w:tc>
          <w:tcPr>
            <w:tcW w:w="25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A. Palamé</w:t>
            </w:r>
          </w:p>
        </w:tc>
      </w:tr>
      <w:tr>
        <w:trPr>
          <w:trHeight w:val="237"/>
        </w:trPr>
        <w:tc>
          <w:tcPr>
            <w:tcW w:w="33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A. Palamé</w:t>
            </w:r>
          </w:p>
        </w:tc>
      </w:tr>
      <w:tr>
        <w:trPr>
          <w:trHeight w:val="257"/>
        </w:trPr>
        <w:tc>
          <w:tcPr>
            <w:tcW w:w="334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ectPr>
          <w:pgSz w:w="11900" w:h="16838" w:orient="portrait"/>
          <w:cols w:equalWidth="0" w:num="1">
            <w:col w:w="11220"/>
          </w:cols>
          <w:pgMar w:left="320" w:top="927" w:right="3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SECOND AMENDMENT</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TO THE</w:t>
      </w:r>
    </w:p>
    <w:p>
      <w:pPr>
        <w:spacing w:after="0" w:line="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2"/>
          <w:szCs w:val="22"/>
          <w:b w:val="1"/>
          <w:bCs w:val="1"/>
          <w:color w:val="auto"/>
        </w:rPr>
        <w:t>BRIGHTSPIRE CAPITAL, INC.</w:t>
      </w:r>
    </w:p>
    <w:p>
      <w:pPr>
        <w:spacing w:after="0" w:line="5"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2022 EQUITY INCENTIVE PLAN,</w:t>
      </w:r>
    </w:p>
    <w:p>
      <w:pPr>
        <w:spacing w:after="0" w:line="15"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EFFECTIVE AS OF MAY 13, 2026</w:t>
      </w:r>
    </w:p>
    <w:p>
      <w:pPr>
        <w:spacing w:after="0" w:line="22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The BrightSpire Capital, Inc. 2022 Equity Incentive Plan, effective as of May 5, 2022 and as amended as of February 21, 2024 (the “</w:t>
      </w:r>
      <w:r>
        <w:rPr>
          <w:rFonts w:ascii="Times New Roman" w:cs="Times New Roman" w:eastAsia="Times New Roman" w:hAnsi="Times New Roman"/>
          <w:sz w:val="22"/>
          <w:szCs w:val="22"/>
          <w:b w:val="1"/>
          <w:bCs w:val="1"/>
          <w:color w:val="auto"/>
        </w:rPr>
        <w:t>Plan</w:t>
      </w:r>
      <w:r>
        <w:rPr>
          <w:rFonts w:ascii="Times New Roman" w:cs="Times New Roman" w:eastAsia="Times New Roman" w:hAnsi="Times New Roman"/>
          <w:sz w:val="22"/>
          <w:szCs w:val="22"/>
          <w:color w:val="auto"/>
        </w:rPr>
        <w:t>”), is hereby further amended, effective as of and subject to approval of this Second Amendment by the stockholders of BrightSpire Capital, Inc. on May 13, 2026, as follows:</w:t>
      </w:r>
    </w:p>
    <w:p>
      <w:pPr>
        <w:spacing w:after="0" w:line="213"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4.1 of the Plan is hereby amended and replaced in its entirety with the following:</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4.1 Number of Shares of Stock Available for Awards.</w:t>
      </w:r>
    </w:p>
    <w:p>
      <w:pPr>
        <w:spacing w:after="0" w:line="25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Subject to such additional shares of Stock as will be available for issuance under the Plan pursuant to Section 4.2, and subject to adjustment as provided in Section 18, the maximum number of shares of Stock available for issuance under the Plan shall be equal to (a) 20,000,000 shares of Stock, plus (b) the number of shares of Stock available for future awards under the Prior Plan as of the Amendment Date, plus (c) the number of shares of Stock related to awards outstanding under the Prior Plan as of the Amendment Date that thereafter terminate by expiration, forfeiture, cancellation, or otherwise without the issuance of such shares of Stock. Shares of Stock issued or to be issued under the Plan may be authorized but unissued shares of Stock or treasury shares of Stock or any combination of the foregoing, as may be determined from time to time by the Board or by the Committee. Any of the shares of Stock available for issuance under the Plan may be used for any type of Award under the Plan, and any or all of the shares of Stock available for issuance under the Plan shall be available for issuance pursuant to Incentive Stock Options.</w:t>
      </w:r>
    </w:p>
    <w:p>
      <w:pPr>
        <w:spacing w:after="0" w:line="210" w:lineRule="exact"/>
        <w:rPr>
          <w:sz w:val="20"/>
          <w:szCs w:val="20"/>
          <w:color w:val="auto"/>
        </w:rPr>
      </w:pPr>
    </w:p>
    <w:p>
      <w:pPr>
        <w:ind w:left="380" w:hanging="372"/>
        <w:spacing w:after="0"/>
        <w:tabs>
          <w:tab w:leader="none" w:pos="3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Section 6.2(e) is hereby amended and replaced in its entirety with the following:</w:t>
      </w:r>
    </w:p>
    <w:p>
      <w:pPr>
        <w:spacing w:after="0" w:line="242"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6.2 Limitation on Shares of Stock Subject to Awards and Cash Awards</w:t>
      </w:r>
    </w:p>
    <w:p>
      <w:pPr>
        <w:spacing w:after="0" w:line="250" w:lineRule="exact"/>
        <w:rPr>
          <w:rFonts w:ascii="Times New Roman" w:cs="Times New Roman" w:eastAsia="Times New Roman" w:hAnsi="Times New Roman"/>
          <w:sz w:val="22"/>
          <w:szCs w:val="22"/>
          <w:color w:val="auto"/>
        </w:rPr>
      </w:pPr>
    </w:p>
    <w:p>
      <w:pPr>
        <w:jc w:val="both"/>
        <w:ind w:firstLine="291"/>
        <w:spacing w:after="0" w:line="256" w:lineRule="auto"/>
        <w:tabs>
          <w:tab w:leader="none" w:pos="596"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maximum aggregate grant date fair value of shares of Stock subject to Awards granted to a Non-Employee Director (excluding, for the avoidance of doubt, any shares of Stock issued to a Non-Employee Director as a result of such Non-Employee Director’s election to receive all or a portion of his or her annual cash retainer in the form of shares) during any calendar year for services rendered as a Non-Employee Director shall not exceed one million dollars ($1,000,000).</w:t>
      </w:r>
    </w:p>
    <w:p>
      <w:pPr>
        <w:spacing w:after="0" w:line="203"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amended above, the Plan shall remain in full force and effect.</w:t>
      </w:r>
    </w:p>
    <w:p>
      <w:pPr>
        <w:sectPr>
          <w:pgSz w:w="11900" w:h="16838" w:orient="portrait"/>
          <w:cols w:equalWidth="0" w:num="1">
            <w:col w:w="11240"/>
          </w:cols>
          <w:pgMar w:left="320" w:top="122" w:right="339" w:bottom="1440" w:gutter="0" w:footer="0" w:header="0"/>
        </w:sectPr>
      </w:pPr>
    </w:p>
    <w:bookmarkStart w:id="5" w:name="page6"/>
    <w:bookmarkEnd w:id="5"/>
    <w:p>
      <w:pPr>
        <w:ind w:firstLine="648"/>
        <w:spacing w:after="0" w:line="284" w:lineRule="auto"/>
        <w:rPr>
          <w:sz w:val="20"/>
          <w:szCs w:val="20"/>
          <w:color w:val="auto"/>
        </w:rPr>
      </w:pPr>
      <w:r>
        <w:rPr>
          <w:rFonts w:ascii="Times New Roman" w:cs="Times New Roman" w:eastAsia="Times New Roman" w:hAnsi="Times New Roman"/>
          <w:sz w:val="22"/>
          <w:szCs w:val="22"/>
          <w:color w:val="auto"/>
        </w:rPr>
        <w:t>IN WITNESS WHEREOF, BrightSpire Capital, Inc. has caused this Second Amendment to the Plan to be executed this 30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March, 2026.</w:t>
      </w:r>
    </w:p>
    <w:p>
      <w:pPr>
        <w:spacing w:after="0" w:line="1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b w:val="1"/>
          <w:bCs w:val="1"/>
          <w:color w:val="auto"/>
        </w:rPr>
        <w:t>BRIGHTSPIRE CAPITAL, INC.</w:t>
      </w:r>
    </w:p>
    <w:p>
      <w:pPr>
        <w:spacing w:after="0" w:line="26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22"/>
          <w:szCs w:val="22"/>
          <w:color w:val="auto"/>
        </w:rPr>
        <w:t>By: /s/ David A. Palamé</w:t>
      </w:r>
    </w:p>
    <w:p>
      <w:pPr>
        <w:spacing w:after="0" w:line="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2"/>
          <w:szCs w:val="22"/>
          <w:color w:val="auto"/>
        </w:rPr>
        <w:t>Name: David A. Palamé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-151765</wp:posOffset>
            </wp:positionV>
            <wp:extent cx="68319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31965" cy="8890"/>
                    </a:xfrm>
                    <a:prstGeom prst="rect">
                      <a:avLst/>
                    </a:prstGeom>
                    <a:noFill/>
                  </pic:spPr>
                </pic:pic>
              </a:graphicData>
            </a:graphic>
          </wp:anchor>
        </w:drawing>
      </w:r>
    </w:p>
    <w:p>
      <w:pPr>
        <w:ind w:left="520"/>
        <w:spacing w:after="0"/>
        <w:rPr>
          <w:sz w:val="20"/>
          <w:szCs w:val="20"/>
          <w:color w:val="auto"/>
        </w:rPr>
      </w:pPr>
      <w:r>
        <w:rPr>
          <w:rFonts w:ascii="Times New Roman" w:cs="Times New Roman" w:eastAsia="Times New Roman" w:hAnsi="Times New Roman"/>
          <w:sz w:val="22"/>
          <w:szCs w:val="22"/>
          <w:color w:val="auto"/>
        </w:rPr>
        <w:t>Title: Executive Vice President</w:t>
      </w:r>
    </w:p>
    <w:sectPr>
      <w:pgSz w:w="11900" w:h="16838" w:orient="portrait"/>
      <w:cols w:equalWidth="0" w:num="1">
        <w:col w:w="11240"/>
      </w:cols>
      <w:pgMar w:left="320" w:top="14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
    </w:lvl>
    <w:lvl w:ilvl="1">
      <w:lvlJc w:val="left"/>
      <w:lvlText w:val="(%2)"/>
      <w:numFmt w:val="lowerLetter"/>
      <w:start w:val="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2026-05-13T16:19:35Z</dcterms:created>
  <dcterms:modified xsi:type="dcterms:W3CDTF">2026-05-13T16:19:35Z</dcterms:modified>
</cp:coreProperties>
</file>